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eastAsia="zh-CN"/>
        </w:rPr>
        <w:t>2021年安徽省职业院校技能大赛“移动应用开发”项目采购</w:t>
      </w:r>
    </w:p>
    <w:p>
      <w:pPr>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 xml:space="preserve"> 竞争性谈判文件</w:t>
      </w:r>
    </w:p>
    <w:p>
      <w:pPr>
        <w:spacing w:line="360" w:lineRule="auto"/>
        <w:jc w:val="center"/>
        <w:rPr>
          <w:rFonts w:hint="eastAsia" w:ascii="宋体" w:hAnsi="宋体" w:eastAsia="宋体" w:cs="宋体"/>
          <w:b/>
          <w:color w:val="auto"/>
          <w:sz w:val="24"/>
          <w:szCs w:val="32"/>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CG-AZ-2021-01</w:t>
      </w:r>
      <w:r>
        <w:rPr>
          <w:rFonts w:hint="eastAsia" w:ascii="宋体" w:hAnsi="宋体" w:cs="宋体"/>
          <w:b/>
          <w:color w:val="auto"/>
          <w:sz w:val="24"/>
          <w:highlight w:val="none"/>
          <w:lang w:val="en-US" w:eastAsia="zh-CN"/>
        </w:rPr>
        <w:t>9</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安庆职业技术学院</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日  期：二〇二一 年 </w:t>
      </w: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rPr>
        <w:t xml:space="preserve"> 月</w:t>
      </w: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2021</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9</w:t>
      </w:r>
      <w:r>
        <w:rPr>
          <w:rFonts w:ascii="仿宋" w:hAnsi="仿宋" w:eastAsia="仿宋" w:cs="仿宋"/>
          <w:bCs/>
          <w:color w:val="auto"/>
          <w:kern w:val="0"/>
          <w:sz w:val="32"/>
          <w:szCs w:val="32"/>
        </w:rPr>
        <w:t>月</w:t>
      </w:r>
      <w:r>
        <w:rPr>
          <w:rFonts w:hint="eastAsia" w:ascii="仿宋" w:hAnsi="仿宋" w:eastAsia="仿宋" w:cs="仿宋"/>
          <w:bCs/>
          <w:color w:val="auto"/>
          <w:kern w:val="0"/>
          <w:sz w:val="32"/>
          <w:szCs w:val="32"/>
          <w:lang w:val="en-US" w:eastAsia="zh-CN"/>
        </w:rPr>
        <w:t>27</w:t>
      </w:r>
      <w:r>
        <w:rPr>
          <w:rFonts w:ascii="仿宋" w:hAnsi="仿宋" w:eastAsia="仿宋" w:cs="仿宋"/>
          <w:bCs/>
          <w:color w:val="auto"/>
          <w:kern w:val="0"/>
          <w:sz w:val="32"/>
          <w:szCs w:val="32"/>
        </w:rPr>
        <w:t>日24时前最新发布的政府行政部门官网截图（或网址链接），或社居委或卫生主管部门等政府部门出具的书面证明材料；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二、鉴于新冠肺炎疫情防控工作需要，本项目将于开标前</w:t>
      </w:r>
      <w:r>
        <w:rPr>
          <w:rFonts w:hint="eastAsia" w:ascii="仿宋" w:hAnsi="仿宋" w:eastAsia="仿宋" w:cs="仿宋"/>
          <w:bCs/>
          <w:color w:val="auto"/>
          <w:kern w:val="0"/>
          <w:sz w:val="32"/>
          <w:szCs w:val="32"/>
          <w:lang w:val="en-US" w:eastAsia="zh-CN"/>
        </w:rPr>
        <w:t>半</w:t>
      </w:r>
      <w:r>
        <w:rPr>
          <w:rFonts w:hint="eastAsia" w:ascii="仿宋" w:hAnsi="仿宋" w:eastAsia="仿宋" w:cs="仿宋"/>
          <w:bCs/>
          <w:color w:val="auto"/>
          <w:kern w:val="0"/>
          <w:sz w:val="32"/>
          <w:szCs w:val="32"/>
        </w:rPr>
        <w:t>小时在安庆市公共资源交易中心（龙山路215号）门口处接收磋商响应文件，请供应商在递交响应文件前出示健康码（绿码）（或疫情低风险区域证明；或提交响应文件截止时间七日内核酸检测报告）、授权书、身份证。响应文件递交成功后可离开现场，如有询标或</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事宜将电话通知。</w:t>
      </w:r>
    </w:p>
    <w:p>
      <w:pPr>
        <w:ind w:firstLine="640" w:firstLineChars="200"/>
        <w:rPr>
          <w:rFonts w:ascii="仿宋" w:hAnsi="仿宋" w:eastAsia="仿宋" w:cs="仿宋"/>
          <w:bCs/>
          <w:color w:val="auto"/>
          <w:kern w:val="0"/>
          <w:sz w:val="32"/>
          <w:szCs w:val="32"/>
        </w:rPr>
      </w:pPr>
    </w:p>
    <w:p>
      <w:pPr>
        <w:rPr>
          <w:rFonts w:ascii="仿宋" w:hAnsi="仿宋" w:eastAsia="仿宋" w:cs="仿宋"/>
          <w:bCs/>
          <w:color w:val="auto"/>
          <w:kern w:val="0"/>
          <w:sz w:val="32"/>
          <w:szCs w:val="32"/>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2、对投标活动中可能发生的质疑、投诉行为，须依法在规定的时间内提出。</w:t>
      </w:r>
    </w:p>
    <w:p>
      <w:pPr>
        <w:widowControl/>
        <w:ind w:firstLine="482" w:firstLineChars="200"/>
        <w:jc w:val="left"/>
        <w:rPr>
          <w:rFonts w:ascii="仿宋" w:hAnsi="仿宋" w:eastAsia="仿宋" w:cs="仿宋"/>
          <w:bCs/>
          <w:color w:val="auto"/>
          <w:kern w:val="0"/>
          <w:sz w:val="32"/>
          <w:szCs w:val="32"/>
        </w:rPr>
      </w:pPr>
      <w:r>
        <w:rPr>
          <w:rFonts w:ascii="宋体" w:hAnsi="宋体" w:cs="宋体"/>
          <w:b/>
          <w:color w:val="auto"/>
          <w:kern w:val="0"/>
          <w:sz w:val="24"/>
        </w:rPr>
        <w:br w:type="page"/>
      </w:r>
    </w:p>
    <w:p>
      <w:pPr>
        <w:widowControl/>
        <w:jc w:val="left"/>
        <w:rPr>
          <w:rFonts w:ascii="宋体" w:hAnsi="宋体" w:cs="宋体"/>
          <w:b/>
          <w:color w:val="auto"/>
          <w:kern w:val="0"/>
          <w:sz w:val="24"/>
        </w:rPr>
      </w:pPr>
    </w:p>
    <w:p>
      <w:pPr>
        <w:jc w:val="center"/>
        <w:rPr>
          <w:rFonts w:ascii="宋体" w:hAnsi="宋体" w:cs="宋体"/>
          <w:b/>
          <w:color w:val="auto"/>
          <w:sz w:val="36"/>
          <w:szCs w:val="36"/>
        </w:rPr>
      </w:pPr>
      <w:r>
        <w:rPr>
          <w:rFonts w:hint="eastAsia" w:ascii="宋体" w:hAnsi="宋体" w:cs="宋体"/>
          <w:b/>
          <w:color w:val="auto"/>
          <w:sz w:val="36"/>
          <w:szCs w:val="36"/>
        </w:rPr>
        <w:t>目   录</w:t>
      </w:r>
    </w:p>
    <w:p>
      <w:pPr>
        <w:pStyle w:val="17"/>
        <w:rPr>
          <w:rFonts w:asciiTheme="minorHAnsi" w:hAnsiTheme="minorHAnsi" w:eastAsiaTheme="minorEastAsia" w:cstheme="minorBidi"/>
          <w:color w:val="auto"/>
          <w:sz w:val="21"/>
          <w:szCs w:val="22"/>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"_Toc54939187" </w:instrText>
      </w:r>
      <w:r>
        <w:rPr>
          <w:color w:val="auto"/>
        </w:rPr>
        <w:fldChar w:fldCharType="separate"/>
      </w:r>
      <w:r>
        <w:rPr>
          <w:rStyle w:val="28"/>
          <w:rFonts w:ascii="宋体" w:hAnsi="宋体" w:cs="宋体"/>
          <w:b/>
          <w:bCs/>
          <w:color w:val="auto"/>
        </w:rPr>
        <w:t>第一章   竞争性谈判公告</w:t>
      </w:r>
      <w:r>
        <w:rPr>
          <w:color w:val="auto"/>
        </w:rPr>
        <w:tab/>
      </w:r>
      <w:r>
        <w:rPr>
          <w:color w:val="auto"/>
        </w:rPr>
        <w:fldChar w:fldCharType="begin"/>
      </w:r>
      <w:r>
        <w:rPr>
          <w:color w:val="auto"/>
        </w:rPr>
        <w:instrText xml:space="preserve"> PAGEREF _Toc54939187 \h </w:instrText>
      </w:r>
      <w:r>
        <w:rPr>
          <w:color w:val="auto"/>
        </w:rPr>
        <w:fldChar w:fldCharType="separate"/>
      </w:r>
      <w:r>
        <w:rPr>
          <w:color w:val="auto"/>
        </w:rPr>
        <w:t>1</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"_Toc54939188" </w:instrText>
      </w:r>
      <w:r>
        <w:rPr>
          <w:color w:val="auto"/>
        </w:rPr>
        <w:fldChar w:fldCharType="separate"/>
      </w:r>
      <w:r>
        <w:rPr>
          <w:rStyle w:val="28"/>
          <w:rFonts w:ascii="宋体" w:hAnsi="宋体" w:cs="宋体"/>
          <w:color w:val="auto"/>
        </w:rPr>
        <w:t>第二章   谈判响应人须知</w:t>
      </w:r>
      <w:r>
        <w:rPr>
          <w:color w:val="auto"/>
        </w:rPr>
        <w:tab/>
      </w:r>
      <w:r>
        <w:rPr>
          <w:color w:val="auto"/>
        </w:rPr>
        <w:fldChar w:fldCharType="begin"/>
      </w:r>
      <w:r>
        <w:rPr>
          <w:color w:val="auto"/>
        </w:rPr>
        <w:instrText xml:space="preserve"> PAGEREF _Toc54939188 \h </w:instrText>
      </w:r>
      <w:r>
        <w:rPr>
          <w:color w:val="auto"/>
        </w:rPr>
        <w:fldChar w:fldCharType="separate"/>
      </w:r>
      <w:r>
        <w:rPr>
          <w:color w:val="auto"/>
        </w:rPr>
        <w:t>1</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"_Toc54939189" </w:instrText>
      </w:r>
      <w:r>
        <w:rPr>
          <w:color w:val="auto"/>
        </w:rPr>
        <w:fldChar w:fldCharType="separate"/>
      </w:r>
      <w:r>
        <w:rPr>
          <w:rStyle w:val="28"/>
          <w:rFonts w:ascii="宋体" w:hAnsi="宋体"/>
          <w:color w:val="auto"/>
        </w:rPr>
        <w:t>第一节  谈判响应人须知前附表</w:t>
      </w:r>
      <w:r>
        <w:rPr>
          <w:color w:val="auto"/>
        </w:rPr>
        <w:tab/>
      </w:r>
      <w:r>
        <w:rPr>
          <w:color w:val="auto"/>
        </w:rPr>
        <w:fldChar w:fldCharType="begin"/>
      </w:r>
      <w:r>
        <w:rPr>
          <w:color w:val="auto"/>
        </w:rPr>
        <w:instrText xml:space="preserve"> PAGEREF _Toc54939189 \h </w:instrText>
      </w:r>
      <w:r>
        <w:rPr>
          <w:color w:val="auto"/>
        </w:rPr>
        <w:fldChar w:fldCharType="separate"/>
      </w:r>
      <w:r>
        <w:rPr>
          <w:color w:val="auto"/>
        </w:rPr>
        <w:t>5</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"_Toc54939190" </w:instrText>
      </w:r>
      <w:r>
        <w:rPr>
          <w:color w:val="auto"/>
        </w:rPr>
        <w:fldChar w:fldCharType="separate"/>
      </w:r>
      <w:r>
        <w:rPr>
          <w:rStyle w:val="28"/>
          <w:rFonts w:ascii="宋体" w:hAnsi="宋体"/>
          <w:color w:val="auto"/>
        </w:rPr>
        <w:t>第二节  谈判响应人须知</w:t>
      </w:r>
      <w:r>
        <w:rPr>
          <w:color w:val="auto"/>
        </w:rPr>
        <w:tab/>
      </w:r>
      <w:r>
        <w:rPr>
          <w:color w:val="auto"/>
        </w:rPr>
        <w:fldChar w:fldCharType="begin"/>
      </w:r>
      <w:r>
        <w:rPr>
          <w:color w:val="auto"/>
        </w:rPr>
        <w:instrText xml:space="preserve"> PAGEREF _Toc54939190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"_Toc54939191" </w:instrText>
      </w:r>
      <w:r>
        <w:rPr>
          <w:color w:val="auto"/>
        </w:rPr>
        <w:fldChar w:fldCharType="separate"/>
      </w:r>
      <w:r>
        <w:rPr>
          <w:rStyle w:val="28"/>
          <w:rFonts w:hAnsi="宋体" w:cs="宋体"/>
          <w:color w:val="auto"/>
        </w:rPr>
        <w:t>一、总则</w:t>
      </w:r>
      <w:r>
        <w:rPr>
          <w:color w:val="auto"/>
        </w:rPr>
        <w:tab/>
      </w:r>
      <w:r>
        <w:rPr>
          <w:color w:val="auto"/>
        </w:rPr>
        <w:fldChar w:fldCharType="begin"/>
      </w:r>
      <w:r>
        <w:rPr>
          <w:color w:val="auto"/>
        </w:rPr>
        <w:instrText xml:space="preserve"> PAGEREF _Toc54939191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"_Toc54939192" </w:instrText>
      </w:r>
      <w:r>
        <w:rPr>
          <w:color w:val="auto"/>
        </w:rPr>
        <w:fldChar w:fldCharType="separate"/>
      </w:r>
      <w:r>
        <w:rPr>
          <w:rStyle w:val="28"/>
          <w:rFonts w:hAnsi="宋体" w:cs="宋体"/>
          <w:color w:val="auto"/>
        </w:rPr>
        <w:t>二、竞争性谈判文件</w:t>
      </w:r>
      <w:r>
        <w:rPr>
          <w:color w:val="auto"/>
        </w:rPr>
        <w:tab/>
      </w:r>
      <w:r>
        <w:rPr>
          <w:color w:val="auto"/>
        </w:rPr>
        <w:fldChar w:fldCharType="begin"/>
      </w:r>
      <w:r>
        <w:rPr>
          <w:color w:val="auto"/>
        </w:rPr>
        <w:instrText xml:space="preserve"> PAGEREF _Toc54939192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"_Toc54939193" </w:instrText>
      </w:r>
      <w:r>
        <w:rPr>
          <w:color w:val="auto"/>
        </w:rPr>
        <w:fldChar w:fldCharType="separate"/>
      </w:r>
      <w:r>
        <w:rPr>
          <w:rStyle w:val="28"/>
          <w:rFonts w:hAnsi="宋体" w:cs="宋体"/>
          <w:color w:val="auto"/>
        </w:rPr>
        <w:t>三、谈判响应文件的编制</w:t>
      </w:r>
      <w:r>
        <w:rPr>
          <w:color w:val="auto"/>
        </w:rPr>
        <w:tab/>
      </w:r>
      <w:r>
        <w:rPr>
          <w:color w:val="auto"/>
        </w:rPr>
        <w:fldChar w:fldCharType="begin"/>
      </w:r>
      <w:r>
        <w:rPr>
          <w:color w:val="auto"/>
        </w:rPr>
        <w:instrText xml:space="preserve"> PAGEREF _Toc54939193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"_Toc54939194" </w:instrText>
      </w:r>
      <w:r>
        <w:rPr>
          <w:color w:val="auto"/>
        </w:rPr>
        <w:fldChar w:fldCharType="separate"/>
      </w:r>
      <w:r>
        <w:rPr>
          <w:rStyle w:val="28"/>
          <w:rFonts w:hAnsi="宋体" w:cs="宋体"/>
          <w:color w:val="auto"/>
        </w:rPr>
        <w:t>四、 谈判响应文件的提交</w:t>
      </w:r>
      <w:r>
        <w:rPr>
          <w:color w:val="auto"/>
        </w:rPr>
        <w:tab/>
      </w:r>
      <w:r>
        <w:rPr>
          <w:color w:val="auto"/>
        </w:rPr>
        <w:fldChar w:fldCharType="begin"/>
      </w:r>
      <w:r>
        <w:rPr>
          <w:color w:val="auto"/>
        </w:rPr>
        <w:instrText xml:space="preserve"> PAGEREF _Toc54939194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"_Toc54939195" </w:instrText>
      </w:r>
      <w:r>
        <w:rPr>
          <w:color w:val="auto"/>
        </w:rPr>
        <w:fldChar w:fldCharType="separate"/>
      </w:r>
      <w:r>
        <w:rPr>
          <w:rStyle w:val="28"/>
          <w:rFonts w:hAnsi="宋体" w:cs="宋体"/>
          <w:color w:val="auto"/>
        </w:rPr>
        <w:t>五、谈判程序</w:t>
      </w:r>
      <w:r>
        <w:rPr>
          <w:color w:val="auto"/>
        </w:rPr>
        <w:tab/>
      </w:r>
      <w:r>
        <w:rPr>
          <w:color w:val="auto"/>
        </w:rPr>
        <w:fldChar w:fldCharType="begin"/>
      </w:r>
      <w:r>
        <w:rPr>
          <w:color w:val="auto"/>
        </w:rPr>
        <w:instrText xml:space="preserve"> PAGEREF _Toc54939195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"_Toc54939196" </w:instrText>
      </w:r>
      <w:r>
        <w:rPr>
          <w:color w:val="auto"/>
        </w:rPr>
        <w:fldChar w:fldCharType="separate"/>
      </w:r>
      <w:r>
        <w:rPr>
          <w:rStyle w:val="28"/>
          <w:rFonts w:hAnsi="宋体" w:cs="宋体"/>
          <w:color w:val="auto"/>
        </w:rPr>
        <w:t>六、谈判</w:t>
      </w:r>
      <w:r>
        <w:rPr>
          <w:color w:val="auto"/>
        </w:rPr>
        <w:tab/>
      </w:r>
      <w:r>
        <w:rPr>
          <w:color w:val="auto"/>
        </w:rPr>
        <w:fldChar w:fldCharType="begin"/>
      </w:r>
      <w:r>
        <w:rPr>
          <w:color w:val="auto"/>
        </w:rPr>
        <w:instrText xml:space="preserve"> PAGEREF _Toc54939196 \h </w:instrText>
      </w:r>
      <w:r>
        <w:rPr>
          <w:color w:val="auto"/>
        </w:rPr>
        <w:fldChar w:fldCharType="separate"/>
      </w:r>
      <w:r>
        <w:rPr>
          <w:color w:val="auto"/>
        </w:rPr>
        <w:t>15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"_Toc54939197" </w:instrText>
      </w:r>
      <w:r>
        <w:rPr>
          <w:color w:val="auto"/>
        </w:rPr>
        <w:fldChar w:fldCharType="separate"/>
      </w:r>
      <w:r>
        <w:rPr>
          <w:rStyle w:val="28"/>
          <w:rFonts w:ascii="宋体" w:hAnsi="宋体" w:cs="宋体"/>
          <w:b/>
          <w:bCs/>
          <w:color w:val="auto"/>
        </w:rPr>
        <w:t>七、合同授予</w:t>
      </w:r>
      <w:r>
        <w:rPr>
          <w:color w:val="auto"/>
        </w:rPr>
        <w:tab/>
      </w:r>
      <w:r>
        <w:rPr>
          <w:color w:val="auto"/>
        </w:rPr>
        <w:fldChar w:fldCharType="begin"/>
      </w:r>
      <w:r>
        <w:rPr>
          <w:color w:val="auto"/>
        </w:rPr>
        <w:instrText xml:space="preserve"> PAGEREF _Toc54939197 \h </w:instrText>
      </w:r>
      <w:r>
        <w:rPr>
          <w:color w:val="auto"/>
        </w:rPr>
        <w:fldChar w:fldCharType="separate"/>
      </w:r>
      <w:r>
        <w:rPr>
          <w:color w:val="auto"/>
        </w:rPr>
        <w:t>18</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"_Toc54939198" </w:instrText>
      </w:r>
      <w:r>
        <w:rPr>
          <w:color w:val="auto"/>
        </w:rPr>
        <w:fldChar w:fldCharType="separate"/>
      </w:r>
      <w:r>
        <w:rPr>
          <w:rStyle w:val="28"/>
          <w:rFonts w:ascii="宋体" w:hAnsi="宋体" w:cs="宋体"/>
          <w:color w:val="auto"/>
        </w:rPr>
        <w:t>第三章 服务需求及技术要求</w:t>
      </w:r>
      <w:r>
        <w:rPr>
          <w:color w:val="auto"/>
        </w:rPr>
        <w:tab/>
      </w:r>
      <w:r>
        <w:rPr>
          <w:color w:val="auto"/>
        </w:rPr>
        <w:fldChar w:fldCharType="begin"/>
      </w:r>
      <w:r>
        <w:rPr>
          <w:color w:val="auto"/>
        </w:rPr>
        <w:instrText xml:space="preserve"> PAGEREF _Toc54939198 \h </w:instrText>
      </w:r>
      <w:r>
        <w:rPr>
          <w:color w:val="auto"/>
        </w:rPr>
        <w:fldChar w:fldCharType="separate"/>
      </w:r>
      <w:r>
        <w:rPr>
          <w:color w:val="auto"/>
        </w:rPr>
        <w:t>20</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"_Toc54939199" </w:instrText>
      </w:r>
      <w:r>
        <w:rPr>
          <w:color w:val="auto"/>
        </w:rPr>
        <w:fldChar w:fldCharType="separate"/>
      </w:r>
      <w:r>
        <w:rPr>
          <w:rStyle w:val="28"/>
          <w:rFonts w:ascii="宋体" w:hAnsi="宋体" w:cs="宋体"/>
          <w:color w:val="auto"/>
        </w:rPr>
        <w:t>第四章  合同主要条款</w:t>
      </w:r>
      <w:r>
        <w:rPr>
          <w:color w:val="auto"/>
        </w:rPr>
        <w:tab/>
      </w:r>
      <w:r>
        <w:rPr>
          <w:color w:val="auto"/>
        </w:rPr>
        <w:fldChar w:fldCharType="begin"/>
      </w:r>
      <w:r>
        <w:rPr>
          <w:color w:val="auto"/>
        </w:rPr>
        <w:instrText xml:space="preserve"> PAGEREF _Toc54939199 \h </w:instrText>
      </w:r>
      <w:r>
        <w:rPr>
          <w:color w:val="auto"/>
        </w:rPr>
        <w:fldChar w:fldCharType="separate"/>
      </w:r>
      <w:r>
        <w:rPr>
          <w:color w:val="auto"/>
        </w:rPr>
        <w:t>25</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"_Toc54939200" </w:instrText>
      </w:r>
      <w:r>
        <w:rPr>
          <w:color w:val="auto"/>
        </w:rPr>
        <w:fldChar w:fldCharType="separate"/>
      </w:r>
      <w:r>
        <w:rPr>
          <w:rStyle w:val="28"/>
          <w:rFonts w:ascii="宋体" w:hAnsi="宋体" w:cs="宋体"/>
          <w:color w:val="auto"/>
        </w:rPr>
        <w:t>第五章   谈判响应文件格式</w:t>
      </w:r>
      <w:r>
        <w:rPr>
          <w:color w:val="auto"/>
        </w:rPr>
        <w:tab/>
      </w:r>
      <w:r>
        <w:rPr>
          <w:color w:val="auto"/>
        </w:rPr>
        <w:fldChar w:fldCharType="begin"/>
      </w:r>
      <w:r>
        <w:rPr>
          <w:color w:val="auto"/>
        </w:rPr>
        <w:instrText xml:space="preserve"> PAGEREF _Toc54939200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"_Toc54939201" </w:instrText>
      </w:r>
      <w:r>
        <w:rPr>
          <w:color w:val="auto"/>
        </w:rPr>
        <w:fldChar w:fldCharType="separate"/>
      </w:r>
      <w:r>
        <w:rPr>
          <w:rStyle w:val="28"/>
          <w:rFonts w:hAnsi="宋体" w:cs="宋体"/>
          <w:color w:val="auto"/>
        </w:rPr>
        <w:t>一、谈判响应函</w:t>
      </w:r>
      <w:r>
        <w:rPr>
          <w:color w:val="auto"/>
        </w:rPr>
        <w:tab/>
      </w:r>
      <w:r>
        <w:rPr>
          <w:color w:val="auto"/>
        </w:rPr>
        <w:fldChar w:fldCharType="begin"/>
      </w:r>
      <w:r>
        <w:rPr>
          <w:color w:val="auto"/>
        </w:rPr>
        <w:instrText xml:space="preserve"> PAGEREF _Toc54939201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"_Toc54939202" </w:instrText>
      </w:r>
      <w:r>
        <w:rPr>
          <w:color w:val="auto"/>
        </w:rPr>
        <w:fldChar w:fldCharType="separate"/>
      </w:r>
      <w:r>
        <w:rPr>
          <w:rStyle w:val="28"/>
          <w:rFonts w:hAnsi="宋体" w:cs="宋体"/>
          <w:color w:val="auto"/>
        </w:rPr>
        <w:t>二、</w:t>
      </w:r>
      <w:r>
        <w:rPr>
          <w:rStyle w:val="28"/>
          <w:rFonts w:hint="eastAsia" w:hAnsi="宋体" w:cs="宋体"/>
          <w:color w:val="auto"/>
          <w:lang w:eastAsia="zh-CN"/>
        </w:rPr>
        <w:t>货物报价表</w:t>
      </w:r>
      <w:r>
        <w:rPr>
          <w:rStyle w:val="28"/>
          <w:rFonts w:hAnsi="宋体" w:cs="宋体"/>
          <w:color w:val="auto"/>
        </w:rPr>
        <w:t>(首轮)</w:t>
      </w:r>
      <w:r>
        <w:rPr>
          <w:color w:val="auto"/>
        </w:rPr>
        <w:tab/>
      </w:r>
      <w:r>
        <w:rPr>
          <w:color w:val="auto"/>
        </w:rPr>
        <w:fldChar w:fldCharType="begin"/>
      </w:r>
      <w:r>
        <w:rPr>
          <w:color w:val="auto"/>
        </w:rPr>
        <w:instrText xml:space="preserve"> PAGEREF _Toc54939202 \h </w:instrText>
      </w:r>
      <w:r>
        <w:rPr>
          <w:color w:val="auto"/>
        </w:rPr>
        <w:fldChar w:fldCharType="separate"/>
      </w:r>
      <w:r>
        <w:rPr>
          <w:color w:val="auto"/>
        </w:rPr>
        <w:t>30</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"_Toc54939203" </w:instrText>
      </w:r>
      <w:r>
        <w:rPr>
          <w:color w:val="auto"/>
        </w:rPr>
        <w:fldChar w:fldCharType="separate"/>
      </w:r>
      <w:r>
        <w:rPr>
          <w:rStyle w:val="28"/>
          <w:rFonts w:hAnsi="宋体" w:cs="宋体"/>
          <w:color w:val="auto"/>
        </w:rPr>
        <w:t>最终报价表</w:t>
      </w:r>
      <w:r>
        <w:rPr>
          <w:color w:val="auto"/>
        </w:rPr>
        <w:tab/>
      </w:r>
      <w:r>
        <w:rPr>
          <w:color w:val="auto"/>
        </w:rPr>
        <w:fldChar w:fldCharType="begin"/>
      </w:r>
      <w:r>
        <w:rPr>
          <w:color w:val="auto"/>
        </w:rPr>
        <w:instrText xml:space="preserve"> PAGEREF _Toc54939203 \h </w:instrText>
      </w:r>
      <w:r>
        <w:rPr>
          <w:color w:val="auto"/>
        </w:rPr>
        <w:fldChar w:fldCharType="separate"/>
      </w:r>
      <w:r>
        <w:rPr>
          <w:color w:val="auto"/>
        </w:rPr>
        <w:t>31</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"_Toc54939204" </w:instrText>
      </w:r>
      <w:r>
        <w:rPr>
          <w:color w:val="auto"/>
        </w:rPr>
        <w:fldChar w:fldCharType="separate"/>
      </w:r>
      <w:r>
        <w:rPr>
          <w:rStyle w:val="28"/>
          <w:rFonts w:hAnsi="宋体" w:cs="宋体"/>
          <w:color w:val="auto"/>
        </w:rPr>
        <w:t>三、</w:t>
      </w:r>
      <w:r>
        <w:rPr>
          <w:rStyle w:val="28"/>
          <w:rFonts w:hint="eastAsia" w:hAnsi="宋体" w:cs="宋体"/>
          <w:color w:val="auto"/>
          <w:lang w:eastAsia="zh-CN"/>
        </w:rPr>
        <w:t>技术参数响应表</w:t>
      </w:r>
      <w:r>
        <w:rPr>
          <w:color w:val="auto"/>
        </w:rPr>
        <w:tab/>
      </w:r>
      <w:r>
        <w:rPr>
          <w:color w:val="auto"/>
        </w:rPr>
        <w:fldChar w:fldCharType="begin"/>
      </w:r>
      <w:r>
        <w:rPr>
          <w:color w:val="auto"/>
        </w:rPr>
        <w:instrText xml:space="preserve"> PAGEREF _Toc54939204 \h </w:instrText>
      </w:r>
      <w:r>
        <w:rPr>
          <w:color w:val="auto"/>
        </w:rPr>
        <w:fldChar w:fldCharType="separate"/>
      </w:r>
      <w:r>
        <w:rPr>
          <w:color w:val="auto"/>
        </w:rPr>
        <w:t>32</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"_Toc54939205" </w:instrText>
      </w:r>
      <w:r>
        <w:rPr>
          <w:color w:val="auto"/>
        </w:rPr>
        <w:fldChar w:fldCharType="separate"/>
      </w:r>
      <w:r>
        <w:rPr>
          <w:rStyle w:val="28"/>
          <w:rFonts w:hAnsi="宋体" w:cs="宋体"/>
          <w:color w:val="auto"/>
        </w:rPr>
        <w:t>四、服务方案</w:t>
      </w:r>
      <w:r>
        <w:rPr>
          <w:color w:val="auto"/>
        </w:rPr>
        <w:tab/>
      </w:r>
      <w:r>
        <w:rPr>
          <w:color w:val="auto"/>
        </w:rPr>
        <w:fldChar w:fldCharType="begin"/>
      </w:r>
      <w:r>
        <w:rPr>
          <w:color w:val="auto"/>
        </w:rPr>
        <w:instrText xml:space="preserve"> PAGEREF _Toc54939205 \h </w:instrText>
      </w:r>
      <w:r>
        <w:rPr>
          <w:color w:val="auto"/>
        </w:rPr>
        <w:fldChar w:fldCharType="separate"/>
      </w:r>
      <w:r>
        <w:rPr>
          <w:color w:val="auto"/>
        </w:rPr>
        <w:t>34</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"_Toc54939206" </w:instrText>
      </w:r>
      <w:r>
        <w:rPr>
          <w:color w:val="auto"/>
        </w:rPr>
        <w:fldChar w:fldCharType="separate"/>
      </w:r>
      <w:r>
        <w:rPr>
          <w:rStyle w:val="28"/>
          <w:rFonts w:hAnsi="宋体" w:cs="宋体"/>
          <w:color w:val="auto"/>
        </w:rPr>
        <w:t>五、诚信谈判响应承诺书</w:t>
      </w:r>
      <w:r>
        <w:rPr>
          <w:color w:val="auto"/>
        </w:rPr>
        <w:tab/>
      </w:r>
      <w:r>
        <w:rPr>
          <w:color w:val="auto"/>
        </w:rPr>
        <w:fldChar w:fldCharType="begin"/>
      </w:r>
      <w:r>
        <w:rPr>
          <w:color w:val="auto"/>
        </w:rPr>
        <w:instrText xml:space="preserve"> PAGEREF _Toc54939206 \h </w:instrText>
      </w:r>
      <w:r>
        <w:rPr>
          <w:color w:val="auto"/>
        </w:rPr>
        <w:fldChar w:fldCharType="separate"/>
      </w:r>
      <w:r>
        <w:rPr>
          <w:color w:val="auto"/>
        </w:rPr>
        <w:t>35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"_Toc54939209" </w:instrText>
      </w:r>
      <w:r>
        <w:rPr>
          <w:color w:val="auto"/>
        </w:rPr>
        <w:fldChar w:fldCharType="separate"/>
      </w:r>
      <w:r>
        <w:rPr>
          <w:rFonts w:hint="eastAsia"/>
          <w:color w:val="auto"/>
          <w:lang w:val="en-US" w:eastAsia="zh-CN"/>
        </w:rPr>
        <w:t>六</w:t>
      </w:r>
      <w:r>
        <w:rPr>
          <w:rStyle w:val="28"/>
          <w:rFonts w:hAnsi="宋体" w:cs="宋体"/>
          <w:color w:val="auto"/>
        </w:rPr>
        <w:t>、资格证明文件</w:t>
      </w:r>
      <w:r>
        <w:rPr>
          <w:color w:val="auto"/>
        </w:rPr>
        <w:tab/>
      </w:r>
      <w:r>
        <w:rPr>
          <w:color w:val="auto"/>
        </w:rPr>
        <w:fldChar w:fldCharType="begin"/>
      </w:r>
      <w:r>
        <w:rPr>
          <w:color w:val="auto"/>
        </w:rPr>
        <w:instrText xml:space="preserve"> PAGEREF _Toc54939209 \h </w:instrText>
      </w:r>
      <w:r>
        <w:rPr>
          <w:color w:val="auto"/>
        </w:rPr>
        <w:fldChar w:fldCharType="separate"/>
      </w:r>
      <w:r>
        <w:rPr>
          <w:color w:val="auto"/>
        </w:rPr>
        <w:t>36</w:t>
      </w:r>
      <w:r>
        <w:rPr>
          <w:color w:val="auto"/>
        </w:rPr>
        <w:fldChar w:fldCharType="end"/>
      </w:r>
      <w:r>
        <w:rPr>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pPr>
      <w:r>
        <w:rPr>
          <w:rFonts w:hint="eastAsia" w:ascii="宋体" w:hAnsi="宋体" w:cs="宋体"/>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auto"/>
        </w:rPr>
      </w:pPr>
    </w:p>
    <w:p>
      <w:pPr>
        <w:pStyle w:val="10"/>
        <w:tabs>
          <w:tab w:val="right" w:leader="dot" w:pos="9060"/>
        </w:tabs>
        <w:spacing w:line="240" w:lineRule="auto"/>
        <w:ind w:left="0" w:leftChars="0"/>
        <w:jc w:val="center"/>
        <w:outlineLvl w:val="0"/>
        <w:rPr>
          <w:rStyle w:val="34"/>
          <w:rFonts w:ascii="宋体" w:hAnsi="宋体" w:cs="宋体"/>
          <w:b/>
          <w:bCs/>
          <w:color w:val="auto"/>
          <w:sz w:val="32"/>
          <w:szCs w:val="32"/>
        </w:rPr>
      </w:pPr>
      <w:bookmarkStart w:id="0" w:name="_Toc54939187"/>
      <w:r>
        <w:rPr>
          <w:rStyle w:val="34"/>
          <w:rFonts w:hint="eastAsia" w:ascii="宋体" w:hAnsi="宋体" w:cs="宋体"/>
          <w:b/>
          <w:bCs/>
          <w:color w:val="auto"/>
          <w:sz w:val="32"/>
          <w:szCs w:val="32"/>
        </w:rPr>
        <w:t>第一章   竞争性谈判公告</w:t>
      </w:r>
      <w:bookmarkEnd w:id="0"/>
      <w:bookmarkStart w:id="1" w:name="_Toc35393797"/>
      <w:bookmarkStart w:id="2" w:name="_Toc28359011"/>
    </w:p>
    <w:p>
      <w:pPr>
        <w:pStyle w:val="10"/>
        <w:tabs>
          <w:tab w:val="right" w:leader="dot" w:pos="9060"/>
        </w:tabs>
        <w:spacing w:line="240" w:lineRule="auto"/>
        <w:ind w:left="0" w:leftChars="0"/>
        <w:jc w:val="center"/>
        <w:rPr>
          <w:rFonts w:hint="eastAsia" w:ascii="华文中宋" w:hAnsi="华文中宋" w:eastAsia="华文中宋"/>
          <w:b/>
          <w:bCs/>
          <w:color w:val="auto"/>
          <w:kern w:val="44"/>
          <w:sz w:val="28"/>
          <w:szCs w:val="28"/>
          <w:lang w:eastAsia="zh-CN"/>
        </w:rPr>
      </w:pPr>
      <w:r>
        <w:rPr>
          <w:rFonts w:hint="eastAsia" w:ascii="华文中宋" w:hAnsi="华文中宋" w:eastAsia="华文中宋"/>
          <w:b/>
          <w:bCs/>
          <w:color w:val="auto"/>
          <w:kern w:val="44"/>
          <w:sz w:val="28"/>
          <w:szCs w:val="28"/>
          <w:lang w:eastAsia="zh-CN"/>
        </w:rPr>
        <w:t>2021年安徽省职业院校技能大赛“移动应用开发”项目采购</w:t>
      </w:r>
    </w:p>
    <w:p>
      <w:pPr>
        <w:pStyle w:val="10"/>
        <w:tabs>
          <w:tab w:val="right" w:leader="dot" w:pos="9060"/>
        </w:tabs>
        <w:spacing w:line="240" w:lineRule="auto"/>
        <w:ind w:left="0" w:leftChars="0"/>
        <w:jc w:val="center"/>
        <w:rPr>
          <w:rFonts w:ascii="华文中宋" w:hAnsi="华文中宋" w:eastAsia="华文中宋"/>
          <w:b/>
          <w:bCs/>
          <w:color w:val="auto"/>
          <w:kern w:val="44"/>
          <w:sz w:val="28"/>
          <w:szCs w:val="28"/>
        </w:rPr>
      </w:pPr>
      <w:r>
        <w:rPr>
          <w:rFonts w:hint="eastAsia" w:ascii="华文中宋" w:hAnsi="华文中宋" w:eastAsia="华文中宋"/>
          <w:b/>
          <w:bCs/>
          <w:color w:val="auto"/>
          <w:kern w:val="44"/>
          <w:sz w:val="28"/>
          <w:szCs w:val="28"/>
        </w:rPr>
        <w:t>竞争性谈判公告</w:t>
      </w:r>
      <w:bookmarkEnd w:id="1"/>
      <w:bookmarkEnd w:id="2"/>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auto"/>
                <w:sz w:val="28"/>
                <w:szCs w:val="28"/>
                <w:highlight w:val="none"/>
              </w:rPr>
            </w:pPr>
            <w:bookmarkStart w:id="3" w:name="_Toc54939188"/>
            <w:bookmarkStart w:id="4" w:name="_Toc5725"/>
            <w:r>
              <w:rPr>
                <w:rFonts w:hint="eastAsia" w:ascii="仿宋" w:hAnsi="仿宋" w:eastAsia="仿宋"/>
                <w:color w:val="auto"/>
                <w:sz w:val="28"/>
                <w:szCs w:val="28"/>
                <w:highlight w:val="none"/>
              </w:rPr>
              <w:t>项目概况</w:t>
            </w:r>
          </w:p>
          <w:p>
            <w:pPr>
              <w:ind w:left="280" w:hanging="280" w:hangingChars="100"/>
              <w:rPr>
                <w:color w:val="auto"/>
                <w:highlight w:val="none"/>
              </w:rPr>
            </w:pPr>
            <w:r>
              <w:rPr>
                <w:rFonts w:hint="eastAsia" w:ascii="仿宋" w:hAnsi="仿宋" w:eastAsia="仿宋"/>
                <w:color w:val="auto"/>
                <w:sz w:val="28"/>
                <w:szCs w:val="28"/>
                <w:highlight w:val="none"/>
                <w:u w:val="single"/>
                <w:lang w:eastAsia="zh-CN"/>
              </w:rPr>
              <w:t>2021年安徽省职业院校技能大赛“移动应用开发”项目采购</w:t>
            </w:r>
            <w:r>
              <w:rPr>
                <w:rFonts w:hint="eastAsia" w:ascii="仿宋" w:hAnsi="仿宋" w:eastAsia="仿宋"/>
                <w:color w:val="auto"/>
                <w:sz w:val="28"/>
                <w:szCs w:val="28"/>
                <w:highlight w:val="none"/>
              </w:rPr>
              <w:t>项目的潜在供应商应于</w:t>
            </w:r>
            <w:r>
              <w:rPr>
                <w:rFonts w:hint="eastAsia" w:ascii="仿宋" w:hAnsi="仿宋" w:eastAsia="仿宋"/>
                <w:color w:val="auto"/>
                <w:sz w:val="28"/>
                <w:szCs w:val="28"/>
                <w:highlight w:val="none"/>
                <w:lang w:val="en-US" w:eastAsia="zh-CN"/>
              </w:rPr>
              <w:t>2021</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分（北京时间）前提交响应文件。</w:t>
            </w:r>
            <w:r>
              <w:rPr>
                <w:rFonts w:ascii="Calibri" w:hAnsi="Calibri"/>
                <w:color w:val="auto"/>
                <w:szCs w:val="21"/>
                <w:highlight w:val="none"/>
                <w:lang w:bidi="ar"/>
              </w:rPr>
              <w:t> </w:t>
            </w:r>
          </w:p>
        </w:tc>
      </w:tr>
    </w:tbl>
    <w:p>
      <w:pPr>
        <w:rPr>
          <w:rFonts w:ascii="黑体" w:hAnsi="黑体" w:eastAsia="黑体" w:cs="宋体"/>
          <w:bCs/>
          <w:color w:val="auto"/>
          <w:sz w:val="28"/>
          <w:szCs w:val="28"/>
          <w:highlight w:val="none"/>
        </w:rPr>
      </w:pPr>
      <w:r>
        <w:rPr>
          <w:rFonts w:ascii="Calibri" w:hAnsi="Calibri"/>
          <w:color w:val="auto"/>
          <w:szCs w:val="21"/>
          <w:highlight w:val="none"/>
          <w:lang w:bidi="ar"/>
        </w:rPr>
        <w:t xml:space="preserve"> </w:t>
      </w:r>
      <w:bookmarkStart w:id="5" w:name="_Toc35393629"/>
      <w:bookmarkStart w:id="6" w:name="_Toc35393798"/>
      <w:bookmarkStart w:id="7" w:name="_Toc28359012"/>
      <w:bookmarkStart w:id="8" w:name="_Toc28359089"/>
      <w:r>
        <w:rPr>
          <w:rFonts w:hint="eastAsia" w:ascii="黑体" w:hAnsi="黑体" w:eastAsia="黑体" w:cs="宋体"/>
          <w:bCs/>
          <w:color w:val="auto"/>
          <w:sz w:val="28"/>
          <w:szCs w:val="28"/>
          <w:highlight w:val="none"/>
        </w:rPr>
        <w:t>一、项目基本情况</w:t>
      </w:r>
      <w:bookmarkEnd w:id="5"/>
      <w:bookmarkEnd w:id="6"/>
      <w:bookmarkEnd w:id="7"/>
      <w:bookmarkEnd w:id="8"/>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CG-AZ-2021-019</w:t>
      </w:r>
    </w:p>
    <w:p>
      <w:pPr>
        <w:ind w:firstLine="708" w:firstLineChars="253"/>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2021年安徽省职业院校技能大赛“移动应用开发”项目采购</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s="仿宋"/>
          <w:color w:val="auto"/>
          <w:sz w:val="28"/>
          <w:szCs w:val="28"/>
          <w:highlight w:val="none"/>
        </w:rPr>
        <w:t xml:space="preserve">竞争性谈判 </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资金来源：</w:t>
      </w:r>
      <w:r>
        <w:rPr>
          <w:rFonts w:hint="eastAsia" w:ascii="仿宋" w:hAnsi="仿宋" w:eastAsia="仿宋"/>
          <w:color w:val="auto"/>
          <w:sz w:val="28"/>
          <w:szCs w:val="28"/>
          <w:highlight w:val="none"/>
          <w:lang w:val="en-US" w:eastAsia="zh-CN"/>
        </w:rPr>
        <w:t>财政资金</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16万元</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16万元</w:t>
      </w:r>
    </w:p>
    <w:p>
      <w:pPr>
        <w:ind w:firstLine="708" w:firstLineChars="253"/>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采购需求：移动应用开发技能实训系统</w:t>
      </w:r>
      <w:r>
        <w:rPr>
          <w:rFonts w:hint="eastAsia" w:ascii="仿宋" w:hAnsi="仿宋" w:eastAsia="仿宋"/>
          <w:color w:val="auto"/>
          <w:sz w:val="28"/>
          <w:szCs w:val="28"/>
          <w:highlight w:val="none"/>
          <w:lang w:val="en-US" w:eastAsia="zh-CN"/>
        </w:rPr>
        <w:t>采购</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详见谈判文件</w:t>
      </w:r>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标段（包别）划分：</w:t>
      </w:r>
      <w:r>
        <w:rPr>
          <w:rFonts w:hint="eastAsia" w:ascii="仿宋" w:hAnsi="仿宋" w:eastAsia="仿宋"/>
          <w:color w:val="auto"/>
          <w:sz w:val="28"/>
          <w:szCs w:val="28"/>
          <w:highlight w:val="none"/>
          <w:lang w:val="en-US" w:eastAsia="zh-CN"/>
        </w:rPr>
        <w:t>一个包</w:t>
      </w:r>
    </w:p>
    <w:p>
      <w:pPr>
        <w:ind w:firstLine="708" w:firstLineChars="253"/>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评标</w:t>
      </w:r>
      <w:r>
        <w:rPr>
          <w:rFonts w:hint="eastAsia" w:ascii="仿宋" w:hAnsi="仿宋" w:eastAsia="仿宋" w:cs="仿宋"/>
          <w:color w:val="auto"/>
          <w:sz w:val="28"/>
          <w:szCs w:val="28"/>
          <w:highlight w:val="none"/>
        </w:rPr>
        <w:t>办法：采用符合性评审的有效最低价评审办法</w:t>
      </w:r>
    </w:p>
    <w:p>
      <w:pPr>
        <w:ind w:firstLine="708" w:firstLineChars="253"/>
        <w:rPr>
          <w:rFonts w:hint="eastAsia" w:ascii="仿宋" w:hAnsi="仿宋" w:eastAsia="仿宋"/>
          <w:color w:val="auto"/>
          <w:sz w:val="28"/>
          <w:szCs w:val="28"/>
          <w:highlight w:val="yellow"/>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合同签字生效后10</w:t>
      </w:r>
      <w:r>
        <w:rPr>
          <w:rFonts w:hint="eastAsia" w:ascii="仿宋" w:hAnsi="仿宋" w:eastAsia="仿宋" w:cs="仿宋"/>
          <w:color w:val="auto"/>
          <w:sz w:val="28"/>
          <w:szCs w:val="28"/>
          <w:highlight w:val="none"/>
        </w:rPr>
        <w:t>个</w:t>
      </w:r>
      <w:r>
        <w:rPr>
          <w:rFonts w:hint="eastAsia" w:ascii="仿宋" w:hAnsi="仿宋" w:eastAsia="仿宋" w:cs="仿宋"/>
          <w:color w:val="auto"/>
          <w:sz w:val="28"/>
          <w:szCs w:val="28"/>
          <w:highlight w:val="none"/>
          <w:lang w:val="en-US" w:eastAsia="zh-CN"/>
        </w:rPr>
        <w:t>日历天</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r>
        <w:rPr>
          <w:rFonts w:hint="eastAsia" w:ascii="仿宋" w:hAnsi="仿宋" w:eastAsia="仿宋"/>
          <w:color w:val="auto"/>
          <w:sz w:val="28"/>
          <w:szCs w:val="28"/>
          <w:highlight w:val="none"/>
          <w:lang w:val="en-US" w:eastAsia="zh-CN"/>
        </w:rPr>
        <w:t>谈判</w:t>
      </w:r>
      <w:r>
        <w:rPr>
          <w:rFonts w:hint="eastAsia" w:ascii="仿宋" w:hAnsi="仿宋" w:eastAsia="仿宋"/>
          <w:color w:val="auto"/>
          <w:sz w:val="28"/>
          <w:szCs w:val="28"/>
          <w:highlight w:val="none"/>
        </w:rPr>
        <w:t>。</w:t>
      </w:r>
    </w:p>
    <w:p>
      <w:pPr>
        <w:rPr>
          <w:rFonts w:ascii="黑体" w:hAnsi="黑体" w:eastAsia="黑体" w:cs="宋体"/>
          <w:bCs/>
          <w:color w:val="auto"/>
          <w:sz w:val="28"/>
          <w:szCs w:val="28"/>
          <w:highlight w:val="none"/>
        </w:rPr>
      </w:pPr>
      <w:bookmarkStart w:id="9" w:name="_Toc35393630"/>
      <w:bookmarkStart w:id="10" w:name="_Toc35393799"/>
      <w:bookmarkStart w:id="11" w:name="_Toc28359090"/>
      <w:bookmarkStart w:id="12" w:name="_Toc28359013"/>
      <w:r>
        <w:rPr>
          <w:rFonts w:hint="eastAsia" w:ascii="黑体" w:hAnsi="黑体" w:eastAsia="黑体" w:cs="宋体"/>
          <w:bCs/>
          <w:color w:val="auto"/>
          <w:sz w:val="28"/>
          <w:szCs w:val="28"/>
          <w:highlight w:val="none"/>
        </w:rPr>
        <w:t>二、申请人的资格要求：</w:t>
      </w:r>
      <w:bookmarkEnd w:id="9"/>
      <w:bookmarkEnd w:id="10"/>
      <w:bookmarkEnd w:id="11"/>
      <w:bookmarkEnd w:id="1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ind w:firstLine="565" w:firstLineChars="202"/>
        <w:rPr>
          <w:rFonts w:ascii="仿宋" w:hAnsi="仿宋" w:eastAsia="仿宋"/>
          <w:color w:val="auto"/>
          <w:sz w:val="28"/>
          <w:szCs w:val="28"/>
          <w:highlight w:val="none"/>
        </w:rPr>
      </w:pPr>
      <w:bookmarkStart w:id="13" w:name="_Toc28359091"/>
      <w:bookmarkStart w:id="14" w:name="_Toc2835901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pPr>
        <w:ind w:firstLine="565" w:firstLineChars="202"/>
        <w:rPr>
          <w:rFonts w:ascii="仿宋" w:hAnsi="仿宋" w:eastAsia="仿宋"/>
          <w:i/>
          <w:iCs/>
          <w:color w:val="auto"/>
          <w:sz w:val="28"/>
          <w:szCs w:val="28"/>
          <w:highlight w:val="none"/>
          <w:u w:val="single"/>
        </w:rPr>
      </w:pPr>
      <w:r>
        <w:rPr>
          <w:rFonts w:hint="eastAsia" w:ascii="仿宋" w:hAnsi="仿宋" w:eastAsia="仿宋"/>
          <w:color w:val="auto"/>
          <w:sz w:val="28"/>
          <w:szCs w:val="28"/>
          <w:highlight w:val="none"/>
        </w:rPr>
        <w:t>3.本项目的特定资格要求：/</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w:t>
      </w:r>
      <w:r>
        <w:rPr>
          <w:rFonts w:hint="eastAsia" w:ascii="仿宋" w:hAnsi="仿宋" w:eastAsia="仿宋"/>
          <w:color w:val="auto"/>
          <w:sz w:val="28"/>
          <w:szCs w:val="28"/>
          <w:highlight w:val="none"/>
        </w:rPr>
        <w:t>具有合法有效的营业执照。</w:t>
      </w:r>
    </w:p>
    <w:p>
      <w:pPr>
        <w:rPr>
          <w:rFonts w:ascii="黑体" w:hAnsi="黑体" w:eastAsia="黑体" w:cs="宋体"/>
          <w:bCs/>
          <w:color w:val="auto"/>
          <w:sz w:val="28"/>
          <w:szCs w:val="28"/>
          <w:highlight w:val="none"/>
        </w:rPr>
      </w:pPr>
      <w:bookmarkStart w:id="15" w:name="_Toc35393631"/>
      <w:bookmarkStart w:id="16" w:name="_Toc35393800"/>
      <w:r>
        <w:rPr>
          <w:rFonts w:hint="eastAsia" w:ascii="黑体" w:hAnsi="黑体" w:eastAsia="黑体" w:cs="宋体"/>
          <w:bCs/>
          <w:color w:val="auto"/>
          <w:sz w:val="28"/>
          <w:szCs w:val="28"/>
          <w:highlight w:val="none"/>
        </w:rPr>
        <w:t>三、获取采购文件</w:t>
      </w:r>
      <w:bookmarkEnd w:id="13"/>
      <w:bookmarkEnd w:id="14"/>
      <w:bookmarkEnd w:id="15"/>
      <w:bookmarkEnd w:id="16"/>
    </w:p>
    <w:p>
      <w:pPr>
        <w:ind w:firstLine="565" w:firstLineChars="202"/>
        <w:rPr>
          <w:rFonts w:hint="eastAsia" w:ascii="仿宋" w:hAnsi="仿宋" w:eastAsia="仿宋" w:cs="宋体"/>
          <w:color w:val="auto"/>
          <w:sz w:val="28"/>
          <w:szCs w:val="28"/>
          <w:highlight w:val="none"/>
        </w:rPr>
      </w:pPr>
      <w:r>
        <w:rPr>
          <w:rFonts w:hint="eastAsia" w:ascii="仿宋" w:hAnsi="仿宋" w:eastAsia="仿宋" w:cs="仿宋"/>
          <w:strike w:val="0"/>
          <w:dstrike w:val="0"/>
          <w:color w:val="auto"/>
          <w:kern w:val="0"/>
          <w:sz w:val="28"/>
          <w:szCs w:val="28"/>
          <w:highlight w:val="none"/>
          <w:lang w:val="en-US" w:eastAsia="zh-CN"/>
        </w:rPr>
        <w:t>潜在供应商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2021年9月18日17时30分</w:t>
      </w:r>
      <w:r>
        <w:rPr>
          <w:rFonts w:hint="eastAsia" w:ascii="仿宋" w:hAnsi="仿宋" w:eastAsia="仿宋" w:cs="仿宋"/>
          <w:strike w:val="0"/>
          <w:dstrike w:val="0"/>
          <w:color w:val="auto"/>
          <w:kern w:val="0"/>
          <w:sz w:val="28"/>
          <w:szCs w:val="28"/>
          <w:highlight w:val="none"/>
        </w:rPr>
        <w:t>前，</w:t>
      </w:r>
      <w:r>
        <w:rPr>
          <w:rFonts w:hint="eastAsia" w:ascii="仿宋" w:hAnsi="仿宋" w:eastAsia="仿宋" w:cs="仿宋"/>
          <w:strike w:val="0"/>
          <w:dstrike w:val="0"/>
          <w:color w:val="auto"/>
          <w:kern w:val="0"/>
          <w:sz w:val="28"/>
          <w:szCs w:val="28"/>
          <w:highlight w:val="none"/>
          <w:lang w:val="en-US" w:eastAsia="zh-CN"/>
        </w:rPr>
        <w:t>将盖公章的获取竞争性谈判文件的函（详见附件）发送至</w:t>
      </w:r>
      <w:r>
        <w:rPr>
          <w:rFonts w:hint="eastAsia" w:ascii="仿宋" w:hAnsi="仿宋" w:eastAsia="仿宋" w:cs="仿宋"/>
          <w:strike w:val="0"/>
          <w:dstrike w:val="0"/>
          <w:color w:val="auto"/>
          <w:kern w:val="0"/>
          <w:sz w:val="28"/>
          <w:szCs w:val="28"/>
          <w:highlight w:val="none"/>
        </w:rPr>
        <w:t>邮箱</w:t>
      </w:r>
      <w:r>
        <w:rPr>
          <w:rFonts w:hint="eastAsia" w:ascii="仿宋" w:hAnsi="仿宋" w:eastAsia="仿宋" w:cs="仿宋"/>
          <w:strike w:val="0"/>
          <w:dstrike w:val="0"/>
          <w:color w:val="auto"/>
          <w:kern w:val="0"/>
          <w:sz w:val="28"/>
          <w:szCs w:val="28"/>
          <w:highlight w:val="none"/>
          <w:lang w:val="en-US" w:eastAsia="zh-CN"/>
        </w:rPr>
        <w:t>504476178</w:t>
      </w:r>
      <w:r>
        <w:rPr>
          <w:rFonts w:hint="eastAsia" w:ascii="仿宋" w:hAnsi="仿宋" w:eastAsia="仿宋" w:cs="仿宋"/>
          <w:strike w:val="0"/>
          <w:dstrike w:val="0"/>
          <w:color w:val="auto"/>
          <w:kern w:val="0"/>
          <w:sz w:val="28"/>
          <w:szCs w:val="28"/>
          <w:highlight w:val="none"/>
        </w:rPr>
        <w:t>@qq.com</w:t>
      </w:r>
      <w:r>
        <w:rPr>
          <w:rFonts w:hint="eastAsia" w:ascii="仿宋" w:hAnsi="仿宋" w:eastAsia="仿宋" w:cs="仿宋"/>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val="en-US" w:eastAsia="zh-CN"/>
        </w:rPr>
        <w:t>超过时间的邮件无效，无法获取文件</w:t>
      </w:r>
      <w:r>
        <w:rPr>
          <w:rFonts w:hint="eastAsia" w:ascii="仿宋" w:hAnsi="仿宋" w:eastAsia="仿宋" w:cs="仿宋"/>
          <w:strike w:val="0"/>
          <w:dstrike w:val="0"/>
          <w:color w:val="auto"/>
          <w:kern w:val="0"/>
          <w:sz w:val="28"/>
          <w:szCs w:val="28"/>
          <w:highlight w:val="none"/>
          <w:lang w:eastAsia="zh-CN"/>
        </w:rPr>
        <w:t>）</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免费</w:t>
      </w:r>
      <w:r>
        <w:rPr>
          <w:rFonts w:hint="eastAsia" w:ascii="仿宋" w:hAnsi="仿宋" w:eastAsia="仿宋" w:cs="宋体"/>
          <w:color w:val="auto"/>
          <w:sz w:val="28"/>
          <w:szCs w:val="28"/>
          <w:highlight w:val="none"/>
        </w:rPr>
        <w:t>。</w:t>
      </w:r>
    </w:p>
    <w:p>
      <w:pPr>
        <w:rPr>
          <w:rFonts w:ascii="黑体" w:hAnsi="黑体" w:eastAsia="黑体" w:cs="宋体"/>
          <w:bCs/>
          <w:color w:val="auto"/>
          <w:sz w:val="28"/>
          <w:szCs w:val="28"/>
          <w:highlight w:val="none"/>
        </w:rPr>
      </w:pPr>
      <w:bookmarkStart w:id="17" w:name="_Toc28359092"/>
      <w:bookmarkStart w:id="18" w:name="_Toc35393632"/>
      <w:bookmarkStart w:id="19" w:name="_Toc28359015"/>
      <w:bookmarkStart w:id="20" w:name="_Toc35393801"/>
      <w:r>
        <w:rPr>
          <w:rFonts w:hint="eastAsia" w:ascii="黑体" w:hAnsi="黑体" w:eastAsia="黑体" w:cs="宋体"/>
          <w:bCs/>
          <w:color w:val="auto"/>
          <w:sz w:val="28"/>
          <w:szCs w:val="28"/>
          <w:highlight w:val="none"/>
        </w:rPr>
        <w:t>四、响应文件提交</w:t>
      </w:r>
      <w:bookmarkEnd w:id="17"/>
      <w:bookmarkEnd w:id="18"/>
      <w:bookmarkEnd w:id="19"/>
      <w:bookmarkEnd w:id="20"/>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none"/>
        </w:rPr>
        <w:t>2021年9月28日15点00分</w:t>
      </w:r>
      <w:r>
        <w:rPr>
          <w:rFonts w:hint="eastAsia" w:ascii="仿宋" w:hAnsi="仿宋" w:eastAsia="仿宋"/>
          <w:bCs/>
          <w:color w:val="auto"/>
          <w:sz w:val="28"/>
          <w:szCs w:val="28"/>
          <w:highlight w:val="none"/>
        </w:rPr>
        <w:t>（北京时间）</w:t>
      </w:r>
    </w:p>
    <w:p>
      <w:pPr>
        <w:widowControl/>
        <w:numPr>
          <w:ilvl w:val="0"/>
          <w:numId w:val="0"/>
        </w:numPr>
        <w:shd w:val="clear" w:color="auto" w:fill="FFFFFF"/>
        <w:spacing w:line="56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安庆市公共资源交易中心(具体开标地点见当天一楼大厅电子显示屏)</w:t>
      </w:r>
    </w:p>
    <w:p>
      <w:pPr>
        <w:rPr>
          <w:rFonts w:ascii="黑体" w:hAnsi="黑体" w:eastAsia="黑体" w:cs="宋体"/>
          <w:bCs/>
          <w:color w:val="auto"/>
          <w:sz w:val="28"/>
          <w:szCs w:val="28"/>
          <w:highlight w:val="none"/>
        </w:rPr>
      </w:pPr>
      <w:bookmarkStart w:id="21" w:name="_Toc35393633"/>
      <w:bookmarkStart w:id="22" w:name="_Toc28359016"/>
      <w:bookmarkStart w:id="23" w:name="_Toc35393802"/>
      <w:bookmarkStart w:id="24" w:name="_Toc28359093"/>
      <w:r>
        <w:rPr>
          <w:rFonts w:hint="eastAsia" w:ascii="黑体" w:hAnsi="黑体" w:eastAsia="黑体" w:cs="宋体"/>
          <w:bCs/>
          <w:color w:val="auto"/>
          <w:sz w:val="28"/>
          <w:szCs w:val="28"/>
          <w:highlight w:val="none"/>
        </w:rPr>
        <w:t>五、开启</w:t>
      </w:r>
      <w:bookmarkEnd w:id="21"/>
      <w:bookmarkEnd w:id="22"/>
      <w:bookmarkEnd w:id="23"/>
      <w:bookmarkEnd w:id="24"/>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none"/>
        </w:rPr>
        <w:t>2021年9月28日15点00分</w:t>
      </w:r>
      <w:r>
        <w:rPr>
          <w:rFonts w:hint="eastAsia" w:ascii="仿宋" w:hAnsi="仿宋" w:eastAsia="仿宋"/>
          <w:bCs/>
          <w:color w:val="auto"/>
          <w:sz w:val="28"/>
          <w:szCs w:val="28"/>
          <w:highlight w:val="none"/>
        </w:rPr>
        <w:t>（北京时间）</w:t>
      </w:r>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w:t>
      </w:r>
    </w:p>
    <w:p>
      <w:pPr>
        <w:rPr>
          <w:rFonts w:ascii="黑体" w:hAnsi="黑体" w:eastAsia="黑体" w:cs="宋体"/>
          <w:bCs/>
          <w:color w:val="auto"/>
          <w:sz w:val="28"/>
          <w:szCs w:val="28"/>
          <w:highlight w:val="none"/>
        </w:rPr>
      </w:pPr>
      <w:bookmarkStart w:id="25" w:name="_Toc28359094"/>
      <w:bookmarkStart w:id="26" w:name="_Toc35393634"/>
      <w:bookmarkStart w:id="27" w:name="_Toc28359017"/>
      <w:bookmarkStart w:id="28" w:name="_Toc35393803"/>
      <w:r>
        <w:rPr>
          <w:rFonts w:hint="eastAsia" w:ascii="黑体" w:hAnsi="黑体" w:eastAsia="黑体" w:cs="宋体"/>
          <w:bCs/>
          <w:color w:val="auto"/>
          <w:sz w:val="28"/>
          <w:szCs w:val="28"/>
          <w:highlight w:val="none"/>
        </w:rPr>
        <w:t>六、公告期限</w:t>
      </w:r>
      <w:bookmarkEnd w:id="25"/>
      <w:bookmarkEnd w:id="26"/>
      <w:bookmarkEnd w:id="27"/>
      <w:bookmarkEnd w:id="28"/>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rPr>
          <w:rFonts w:ascii="黑体" w:hAnsi="黑体" w:eastAsia="黑体" w:cs="宋体"/>
          <w:bCs/>
          <w:color w:val="auto"/>
          <w:sz w:val="28"/>
          <w:szCs w:val="28"/>
          <w:highlight w:val="none"/>
        </w:rPr>
      </w:pPr>
      <w:bookmarkStart w:id="29" w:name="_Toc35393804"/>
      <w:bookmarkStart w:id="30" w:name="_Toc35393635"/>
      <w:r>
        <w:rPr>
          <w:rFonts w:hint="eastAsia" w:ascii="黑体" w:hAnsi="黑体" w:eastAsia="黑体" w:cs="宋体"/>
          <w:bCs/>
          <w:color w:val="auto"/>
          <w:sz w:val="28"/>
          <w:szCs w:val="28"/>
          <w:highlight w:val="none"/>
        </w:rPr>
        <w:t>七、其他补充事宜</w:t>
      </w:r>
      <w:bookmarkEnd w:id="29"/>
      <w:bookmarkEnd w:id="30"/>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供应商的联系人电话(手机)、电子邮箱等通讯方式在谈判过程中必须保持畅通，否则因上述原因造成的后果，责任自负。</w:t>
      </w:r>
    </w:p>
    <w:p>
      <w:pPr>
        <w:ind w:firstLine="565" w:firstLineChars="202"/>
        <w:rPr>
          <w:rFonts w:hint="eastAsia" w:ascii="仿宋" w:hAnsi="仿宋" w:eastAsia="仿宋" w:cs="仿宋"/>
          <w:color w:val="auto"/>
          <w:kern w:val="0"/>
          <w:sz w:val="28"/>
          <w:szCs w:val="28"/>
          <w:highlight w:val="none"/>
        </w:rPr>
      </w:pP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w:t>
      </w:r>
      <w:r>
        <w:rPr>
          <w:rFonts w:hint="eastAsia" w:ascii="仿宋" w:hAnsi="仿宋" w:eastAsia="仿宋" w:cs="仿宋"/>
          <w:color w:val="auto"/>
          <w:kern w:val="0"/>
          <w:sz w:val="28"/>
          <w:szCs w:val="28"/>
          <w:highlight w:val="none"/>
        </w:rPr>
        <w:t>本</w:t>
      </w:r>
      <w:r>
        <w:rPr>
          <w:rFonts w:hint="eastAsia" w:ascii="仿宋" w:hAnsi="仿宋" w:eastAsia="仿宋" w:cs="仿宋"/>
          <w:color w:val="auto"/>
          <w:kern w:val="0"/>
          <w:sz w:val="28"/>
          <w:szCs w:val="28"/>
          <w:highlight w:val="none"/>
          <w:lang w:val="en-US" w:eastAsia="zh-CN"/>
        </w:rPr>
        <w:t>竞争性谈判</w:t>
      </w:r>
      <w:r>
        <w:rPr>
          <w:rFonts w:hint="eastAsia" w:ascii="仿宋" w:hAnsi="仿宋" w:eastAsia="仿宋" w:cs="仿宋"/>
          <w:color w:val="auto"/>
          <w:kern w:val="0"/>
          <w:sz w:val="28"/>
          <w:szCs w:val="28"/>
          <w:highlight w:val="none"/>
        </w:rPr>
        <w:t>文件的澄清、修改、补充说明等内容均通过安庆</w:t>
      </w:r>
      <w:r>
        <w:rPr>
          <w:rFonts w:hint="eastAsia" w:ascii="仿宋" w:hAnsi="仿宋" w:eastAsia="仿宋" w:cs="仿宋"/>
          <w:color w:val="auto"/>
          <w:kern w:val="0"/>
          <w:sz w:val="28"/>
          <w:szCs w:val="28"/>
          <w:highlight w:val="none"/>
          <w:lang w:val="en-US" w:eastAsia="zh-CN"/>
        </w:rPr>
        <w:t>职业技术学院（https://www.aqvtc.edu.cn/）发布</w:t>
      </w:r>
      <w:r>
        <w:rPr>
          <w:rFonts w:hint="eastAsia" w:ascii="仿宋" w:hAnsi="仿宋" w:eastAsia="仿宋" w:cs="仿宋"/>
          <w:color w:val="auto"/>
          <w:kern w:val="0"/>
          <w:sz w:val="28"/>
          <w:szCs w:val="28"/>
          <w:highlight w:val="none"/>
        </w:rPr>
        <w:t>，请务必随时关注，以免影响</w:t>
      </w:r>
      <w:r>
        <w:rPr>
          <w:rFonts w:hint="eastAsia" w:ascii="仿宋" w:hAnsi="仿宋" w:eastAsia="仿宋" w:cs="仿宋"/>
          <w:color w:val="auto"/>
          <w:kern w:val="0"/>
          <w:sz w:val="28"/>
          <w:szCs w:val="28"/>
          <w:highlight w:val="none"/>
          <w:lang w:val="en-US" w:eastAsia="zh-CN"/>
        </w:rPr>
        <w:t>响应</w:t>
      </w:r>
      <w:r>
        <w:rPr>
          <w:rFonts w:hint="eastAsia" w:ascii="仿宋" w:hAnsi="仿宋" w:eastAsia="仿宋" w:cs="仿宋"/>
          <w:color w:val="auto"/>
          <w:kern w:val="0"/>
          <w:sz w:val="28"/>
          <w:szCs w:val="28"/>
          <w:highlight w:val="none"/>
        </w:rPr>
        <w:t>文件编制，因</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未及时关注相关信息对投标造成的不利后果由其自行承担。</w:t>
      </w:r>
    </w:p>
    <w:p>
      <w:pPr>
        <w:ind w:firstLine="565" w:firstLineChars="202"/>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3.获取竞争性谈判文件，而放弃参加投标的供应商，请在响应文件提交截止日前以单位名义向504476178@qq.com邮箱发送弃标函（格式自拟）。</w:t>
      </w:r>
    </w:p>
    <w:p>
      <w:pPr>
        <w:rPr>
          <w:rFonts w:ascii="黑体" w:hAnsi="黑体" w:eastAsia="黑体" w:cs="宋体"/>
          <w:bCs/>
          <w:color w:val="auto"/>
          <w:sz w:val="28"/>
          <w:szCs w:val="28"/>
          <w:highlight w:val="none"/>
        </w:rPr>
      </w:pPr>
      <w:bookmarkStart w:id="31" w:name="_Toc28359095"/>
      <w:bookmarkStart w:id="32" w:name="_Toc28359018"/>
      <w:bookmarkStart w:id="33" w:name="_Toc35393805"/>
      <w:bookmarkStart w:id="34"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1"/>
      <w:bookmarkEnd w:id="32"/>
      <w:bookmarkEnd w:id="33"/>
      <w:bookmarkEnd w:id="34"/>
    </w:p>
    <w:p>
      <w:pPr>
        <w:ind w:firstLine="565" w:firstLineChars="202"/>
        <w:rPr>
          <w:rFonts w:ascii="仿宋" w:hAnsi="仿宋" w:eastAsia="仿宋" w:cs="宋体"/>
          <w:bCs/>
          <w:color w:val="auto"/>
          <w:sz w:val="28"/>
          <w:szCs w:val="28"/>
          <w:highlight w:val="none"/>
        </w:rPr>
      </w:pPr>
      <w:bookmarkStart w:id="35" w:name="_Toc35393637"/>
      <w:bookmarkStart w:id="36" w:name="_Toc35393806"/>
      <w:bookmarkStart w:id="37" w:name="_Toc28359096"/>
      <w:bookmarkStart w:id="38" w:name="_Toc28359019"/>
      <w:r>
        <w:rPr>
          <w:rFonts w:hint="eastAsia" w:ascii="仿宋" w:hAnsi="仿宋" w:eastAsia="仿宋" w:cs="宋体"/>
          <w:bCs/>
          <w:color w:val="auto"/>
          <w:sz w:val="28"/>
          <w:szCs w:val="28"/>
          <w:highlight w:val="none"/>
        </w:rPr>
        <w:t>1.采购人信息</w:t>
      </w:r>
      <w:bookmarkEnd w:id="35"/>
      <w:bookmarkEnd w:id="36"/>
      <w:bookmarkEnd w:id="37"/>
      <w:bookmarkEnd w:id="38"/>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lang w:eastAsia="zh-CN"/>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cs="宋体"/>
          <w:bCs/>
          <w:color w:val="auto"/>
          <w:sz w:val="28"/>
          <w:szCs w:val="28"/>
          <w:highlight w:val="none"/>
        </w:rPr>
      </w:pPr>
      <w:bookmarkStart w:id="39" w:name="_Toc28359020"/>
      <w:bookmarkStart w:id="40" w:name="_Toc28359097"/>
      <w:bookmarkStart w:id="41" w:name="_Toc35393807"/>
      <w:bookmarkStart w:id="42" w:name="_Toc35393638"/>
      <w:r>
        <w:rPr>
          <w:rFonts w:hint="eastAsia" w:ascii="仿宋" w:hAnsi="仿宋" w:eastAsia="仿宋" w:cs="宋体"/>
          <w:bCs/>
          <w:color w:val="auto"/>
          <w:sz w:val="28"/>
          <w:szCs w:val="28"/>
          <w:highlight w:val="none"/>
        </w:rPr>
        <w:t>2.采购代理机构信息</w:t>
      </w:r>
      <w:bookmarkEnd w:id="39"/>
      <w:bookmarkEnd w:id="40"/>
      <w:bookmarkEnd w:id="41"/>
      <w:bookmarkEnd w:id="4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安庆市皖宜项目咨询管理有限公司</w:t>
      </w:r>
    </w:p>
    <w:p>
      <w:pPr>
        <w:ind w:firstLine="565" w:firstLineChars="202"/>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安庆市龙山路215号五楼</w:t>
      </w:r>
      <w:r>
        <w:rPr>
          <w:rFonts w:hint="eastAsia" w:ascii="仿宋" w:hAnsi="仿宋" w:eastAsia="仿宋" w:cs="仿宋"/>
          <w:color w:val="auto"/>
          <w:kern w:val="0"/>
          <w:sz w:val="28"/>
          <w:szCs w:val="28"/>
          <w:highlight w:val="none"/>
          <w:lang w:val="en-US" w:eastAsia="zh-CN"/>
        </w:rPr>
        <w:t>政府采购部</w:t>
      </w:r>
    </w:p>
    <w:p>
      <w:pPr>
        <w:ind w:firstLine="565" w:firstLineChars="202"/>
        <w:rPr>
          <w:rFonts w:hint="eastAsia" w:ascii="仿宋" w:hAnsi="仿宋" w:eastAsia="仿宋"/>
          <w:color w:val="auto"/>
          <w:sz w:val="28"/>
          <w:szCs w:val="28"/>
          <w:highlight w:val="none"/>
          <w:u w:val="none"/>
          <w:lang w:eastAsia="zh-CN"/>
        </w:rPr>
      </w:pPr>
      <w:r>
        <w:rPr>
          <w:rFonts w:hint="eastAsia" w:ascii="仿宋" w:hAnsi="仿宋" w:eastAsia="仿宋" w:cstheme="minorBidi"/>
          <w:color w:val="auto"/>
          <w:sz w:val="28"/>
          <w:szCs w:val="28"/>
          <w:highlight w:val="none"/>
        </w:rPr>
        <w:t xml:space="preserve">联 </w:t>
      </w:r>
      <w:r>
        <w:rPr>
          <w:rFonts w:hint="eastAsia" w:ascii="仿宋" w:hAnsi="仿宋" w:eastAsia="仿宋" w:cstheme="minorBidi"/>
          <w:color w:val="auto"/>
          <w:sz w:val="28"/>
          <w:szCs w:val="28"/>
          <w:highlight w:val="none"/>
          <w:u w:val="none"/>
        </w:rPr>
        <w:t>系 人：</w:t>
      </w:r>
      <w:r>
        <w:rPr>
          <w:rFonts w:hint="eastAsia" w:ascii="仿宋" w:hAnsi="仿宋" w:eastAsia="仿宋"/>
          <w:color w:val="auto"/>
          <w:sz w:val="28"/>
          <w:szCs w:val="28"/>
          <w:highlight w:val="none"/>
          <w:u w:val="none"/>
          <w:lang w:val="en-US" w:eastAsia="zh-CN"/>
        </w:rPr>
        <w:t>武惠梅</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0556-5991152</w:t>
      </w:r>
    </w:p>
    <w:p>
      <w:pPr>
        <w:ind w:firstLine="565" w:firstLineChars="202"/>
        <w:rPr>
          <w:rFonts w:ascii="仿宋" w:hAnsi="仿宋" w:eastAsia="仿宋" w:cs="宋体"/>
          <w:bCs/>
          <w:color w:val="auto"/>
          <w:sz w:val="28"/>
          <w:szCs w:val="28"/>
          <w:highlight w:val="none"/>
        </w:rPr>
      </w:pPr>
      <w:bookmarkStart w:id="43" w:name="_Toc28359021"/>
      <w:bookmarkStart w:id="44" w:name="_Toc28359098"/>
      <w:bookmarkStart w:id="45" w:name="_Toc35393808"/>
      <w:bookmarkStart w:id="46" w:name="_Toc35393639"/>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43"/>
      <w:bookmarkEnd w:id="44"/>
      <w:bookmarkEnd w:id="45"/>
      <w:bookmarkEnd w:id="46"/>
    </w:p>
    <w:p>
      <w:pPr>
        <w:ind w:firstLine="565" w:firstLineChars="202"/>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项目联系人：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s="仿宋"/>
          <w:color w:val="auto"/>
          <w:kern w:val="0"/>
          <w:sz w:val="28"/>
          <w:szCs w:val="28"/>
          <w:highlight w:val="none"/>
        </w:rPr>
        <w:t>0556-5283045</w:t>
      </w:r>
    </w:p>
    <w:p>
      <w:pPr>
        <w:rPr>
          <w:rFonts w:ascii="仿宋_GB2312" w:hAnsi="宋体" w:eastAsia="仿宋_GB2312" w:cs="宋体"/>
          <w:color w:val="auto"/>
          <w:kern w:val="0"/>
          <w:sz w:val="32"/>
          <w:szCs w:val="32"/>
          <w:highlight w:val="none"/>
        </w:rPr>
      </w:pPr>
    </w:p>
    <w:p>
      <w:pPr>
        <w:pStyle w:val="2"/>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2"/>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我单位要求获取2021年安徽省职业院校技能大赛“移动应用开发”项目采购项目的竞争性谈判文件电子版，该电子版仅做本次投标使用，并承诺不做外用。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请将2021年安徽省职业院校技能大赛“移动应用开发”项目采购项目竞争性谈判文件发至以下邮箱：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2021年  月  日</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pStyle w:val="2"/>
        <w:rPr>
          <w:rFonts w:ascii="宋体" w:hAnsi="宋体" w:cs="宋体"/>
          <w:color w:val="auto"/>
        </w:rPr>
      </w:pPr>
      <w:r>
        <w:rPr>
          <w:rFonts w:hint="eastAsia" w:ascii="宋体" w:hAnsi="宋体" w:cs="宋体"/>
          <w:color w:val="auto"/>
        </w:rPr>
        <w:t>第二章   谈判响应人须知</w:t>
      </w:r>
      <w:bookmarkEnd w:id="3"/>
      <w:bookmarkEnd w:id="4"/>
    </w:p>
    <w:p>
      <w:pPr>
        <w:pStyle w:val="45"/>
        <w:rPr>
          <w:rFonts w:ascii="宋体" w:hAnsi="宋体"/>
          <w:color w:val="auto"/>
        </w:rPr>
      </w:pPr>
      <w:bookmarkStart w:id="47" w:name="_Toc27607"/>
      <w:bookmarkStart w:id="48" w:name="_Toc54939189"/>
      <w:r>
        <w:rPr>
          <w:rFonts w:hint="eastAsia" w:ascii="宋体" w:hAnsi="宋体"/>
          <w:color w:val="auto"/>
        </w:rPr>
        <w:t>第一节  谈判响应人须知前附表</w:t>
      </w:r>
      <w:bookmarkEnd w:id="47"/>
      <w:bookmarkEnd w:id="48"/>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28"/>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auto"/>
                <w:szCs w:val="21"/>
              </w:rPr>
            </w:pPr>
            <w:r>
              <w:rPr>
                <w:rFonts w:hint="eastAsia" w:ascii="宋体" w:hAnsi="宋体" w:cs="宋体"/>
                <w:color w:val="auto"/>
                <w:szCs w:val="21"/>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内容</w:t>
            </w:r>
          </w:p>
        </w:tc>
        <w:tc>
          <w:tcPr>
            <w:tcW w:w="70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项目编号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val="en-US" w:eastAsia="zh-CN"/>
              </w:rPr>
            </w:pPr>
            <w:r>
              <w:rPr>
                <w:rFonts w:hint="eastAsia" w:ascii="宋体" w:hAnsi="宋体" w:cs="宋体"/>
                <w:color w:val="auto"/>
                <w:kern w:val="0"/>
                <w:szCs w:val="21"/>
                <w:highlight w:val="none"/>
                <w:lang w:eastAsia="zh-CN"/>
              </w:rPr>
              <w:t>CG-AZ-2021-019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项目名称</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eastAsia="zh-CN"/>
              </w:rPr>
            </w:pPr>
            <w:r>
              <w:rPr>
                <w:rFonts w:hint="eastAsia" w:ascii="宋体" w:hAnsi="宋体" w:cs="宋体"/>
                <w:color w:val="auto"/>
                <w:kern w:val="0"/>
                <w:szCs w:val="21"/>
                <w:highlight w:val="none"/>
                <w:lang w:eastAsia="zh-CN"/>
              </w:rPr>
              <w:t>2021年安徽省职业院校技能大赛“移动应用开发”项目采购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采购人</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eastAsia="宋体" w:cs="宋体"/>
                <w:color w:val="auto"/>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包别划分</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资金来源</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谈判最高限价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交货、安装、调试期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w:t>
            </w:r>
            <w:r>
              <w:rPr>
                <w:rFonts w:hint="eastAsia" w:ascii="宋体" w:hAnsi="宋体" w:cs="宋体"/>
                <w:color w:val="auto"/>
                <w:szCs w:val="21"/>
                <w:highlight w:val="none"/>
              </w:rPr>
              <w:t>合同签字生效后</w:t>
            </w:r>
            <w:r>
              <w:rPr>
                <w:rFonts w:hint="eastAsia" w:ascii="宋体" w:hAnsi="宋体" w:cs="宋体"/>
                <w:color w:val="auto"/>
                <w:szCs w:val="21"/>
                <w:highlight w:val="none"/>
                <w:lang w:val="en-US" w:eastAsia="zh-CN"/>
              </w:rPr>
              <w:t>10个日历天内完成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资格要求</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w:t>
            </w:r>
          </w:p>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资格审查方式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谈判响应有效期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auto"/>
                <w:szCs w:val="21"/>
              </w:rPr>
            </w:pPr>
            <w:r>
              <w:rPr>
                <w:rFonts w:hint="eastAsia" w:ascii="宋体" w:hAnsi="宋体" w:cs="宋体"/>
                <w:color w:val="auto"/>
                <w:szCs w:val="21"/>
              </w:rPr>
              <w:t>180日历天（从提交谈判响应文件截止时间算起）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提交响应文件</w:t>
            </w:r>
          </w:p>
        </w:tc>
        <w:tc>
          <w:tcPr>
            <w:tcW w:w="70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2021年9月28日15点00分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rPr>
              <w:t>一</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1"/>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媒介发布</w:t>
            </w:r>
          </w:p>
        </w:tc>
        <w:tc>
          <w:tcPr>
            <w:tcW w:w="7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谈判时间和地点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none"/>
              </w:rPr>
              <w:t>2021年9月28日15点00分</w:t>
            </w:r>
          </w:p>
          <w:p>
            <w:pPr>
              <w:spacing w:line="420" w:lineRule="exact"/>
              <w:rPr>
                <w:rFonts w:ascii="宋体" w:hAnsi="宋体" w:cs="宋体"/>
                <w:color w:val="auto"/>
                <w:szCs w:val="21"/>
              </w:rPr>
            </w:pPr>
            <w:r>
              <w:rPr>
                <w:rFonts w:hint="eastAsia" w:ascii="宋体" w:hAnsi="宋体" w:cs="宋体"/>
                <w:color w:val="auto"/>
                <w:szCs w:val="21"/>
              </w:rPr>
              <w:t>地点: 安庆市公共资源交易中心</w:t>
            </w:r>
          </w:p>
          <w:p>
            <w:pPr>
              <w:spacing w:line="420" w:lineRule="exact"/>
              <w:ind w:firstLine="525" w:firstLineChars="250"/>
              <w:rPr>
                <w:rFonts w:ascii="宋体" w:hAnsi="宋体" w:cs="宋体"/>
                <w:color w:val="auto"/>
                <w:szCs w:val="21"/>
              </w:rPr>
            </w:pPr>
            <w:r>
              <w:rPr>
                <w:rFonts w:hint="eastAsia" w:ascii="宋体" w:hAnsi="宋体" w:cs="宋体"/>
                <w:color w:val="auto"/>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p>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评审方法</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履约保证金金额：成交价的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20" w:lineRule="exact"/>
              <w:rPr>
                <w:rFonts w:ascii="宋体" w:hAnsi="宋体" w:cs="宋体"/>
                <w:color w:val="auto"/>
                <w:szCs w:val="21"/>
              </w:rPr>
            </w:pPr>
            <w:r>
              <w:rPr>
                <w:rFonts w:hint="eastAsia" w:ascii="宋体" w:hAnsi="宋体" w:cs="宋体"/>
                <w:color w:val="auto"/>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color w:val="auto"/>
                <w:szCs w:val="21"/>
              </w:rPr>
            </w:pPr>
            <w:r>
              <w:rPr>
                <w:rFonts w:hint="eastAsia" w:ascii="宋体" w:hAnsi="宋体" w:cs="宋体"/>
                <w:color w:val="auto"/>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项目验收合格后一次性支付合同价款。签订合同前须缴纳的履约保证金，一年后无质量问题一次性退还，不计息。</w:t>
            </w:r>
            <w:bookmarkStart w:id="105" w:name="_GoBack"/>
            <w:bookmarkEnd w:id="10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备   注</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1、本竞争性谈判文件的解释权归采购单位；</w:t>
            </w:r>
          </w:p>
          <w:p>
            <w:pPr>
              <w:spacing w:line="420" w:lineRule="exact"/>
              <w:rPr>
                <w:rFonts w:ascii="宋体" w:hAnsi="宋体" w:cs="宋体"/>
                <w:color w:val="auto"/>
                <w:szCs w:val="21"/>
              </w:rPr>
            </w:pPr>
            <w:r>
              <w:rPr>
                <w:rFonts w:hint="eastAsia" w:ascii="宋体" w:hAnsi="宋体" w:cs="宋体"/>
                <w:b/>
                <w:color w:val="auto"/>
                <w:szCs w:val="21"/>
                <w:highlight w:val="none"/>
              </w:rPr>
              <w:t>2、本项目若涉及到专业分包工程，如成交人没有相应资质，则必须委托有资质的单位实施。该专业分包单位的选定须事先征得采购人同意。</w:t>
            </w:r>
          </w:p>
        </w:tc>
      </w:tr>
    </w:tbl>
    <w:p>
      <w:pPr>
        <w:pStyle w:val="45"/>
        <w:rPr>
          <w:rFonts w:ascii="宋体" w:hAnsi="宋体"/>
          <w:color w:val="auto"/>
        </w:rPr>
      </w:pPr>
      <w:bookmarkStart w:id="49" w:name="_Toc14999"/>
      <w:bookmarkStart w:id="50" w:name="_Toc54939190"/>
      <w:r>
        <w:rPr>
          <w:rFonts w:hint="eastAsia" w:ascii="宋体" w:hAnsi="宋体"/>
          <w:color w:val="auto"/>
        </w:rPr>
        <w:t>第二节  谈判响应人须知</w:t>
      </w:r>
      <w:bookmarkEnd w:id="49"/>
      <w:bookmarkEnd w:id="50"/>
    </w:p>
    <w:p>
      <w:pPr>
        <w:pStyle w:val="5"/>
        <w:ind w:firstLine="472" w:firstLineChars="196"/>
        <w:jc w:val="both"/>
        <w:rPr>
          <w:rFonts w:hAnsi="宋体" w:cs="宋体"/>
          <w:color w:val="auto"/>
        </w:rPr>
      </w:pPr>
      <w:bookmarkStart w:id="51" w:name="_Toc54939191"/>
      <w:bookmarkStart w:id="52" w:name="_Toc7034"/>
      <w:r>
        <w:rPr>
          <w:rFonts w:hint="eastAsia" w:hAnsi="宋体" w:cs="宋体"/>
          <w:color w:val="auto"/>
        </w:rPr>
        <w:t>一、总则</w:t>
      </w:r>
      <w:bookmarkEnd w:id="51"/>
      <w:bookmarkEnd w:id="52"/>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2.1、采购单位是指采购人和采购代理机构。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2.2、谈判响应人是指对“谈判响应人须知前附表”序号2所指的项目表现出兴趣，按照</w:t>
      </w:r>
      <w:r>
        <w:rPr>
          <w:rFonts w:hint="eastAsia" w:ascii="宋体" w:hAnsi="宋体" w:cs="宋体"/>
          <w:color w:val="auto"/>
        </w:rPr>
        <w:t>约定</w:t>
      </w:r>
      <w:r>
        <w:rPr>
          <w:rFonts w:hint="eastAsia" w:ascii="宋体" w:hAnsi="宋体" w:cs="宋体"/>
          <w:color w:val="auto"/>
          <w:szCs w:val="21"/>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3.1、参与本项目的谈判响应人必须满足的要求：详见谈判响应人须知前附表。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单位负责人为同一人或者存在直接控股、管理关系的不同供应商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除单一来源采购项目外，为采购项目提供整体设计、规范编制或者项目管理、监理、检测等服务的供应商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w:t>
      </w:r>
      <w:r>
        <w:rPr>
          <w:rFonts w:hint="eastAsia" w:ascii="Arial" w:hAnsi="Arial" w:cs="Arial"/>
          <w:color w:val="auto"/>
        </w:rPr>
        <w:t>银行、保险、石油化工、电力、电信等特殊行业的分公司参与</w:t>
      </w:r>
      <w:r>
        <w:rPr>
          <w:rFonts w:hint="eastAsia" w:ascii="宋体" w:hAnsi="宋体" w:cs="宋体"/>
          <w:color w:val="auto"/>
          <w:szCs w:val="21"/>
        </w:rPr>
        <w:t>谈判</w:t>
      </w:r>
      <w:r>
        <w:rPr>
          <w:rFonts w:hint="eastAsia" w:ascii="Arial" w:hAnsi="Arial" w:cs="Arial"/>
          <w:color w:val="auto"/>
        </w:rPr>
        <w:t>，须取得总公司的相关授权（</w:t>
      </w:r>
      <w:r>
        <w:rPr>
          <w:rFonts w:hint="eastAsia" w:ascii="宋体" w:hAnsi="宋体" w:cs="宋体"/>
          <w:color w:val="auto"/>
          <w:szCs w:val="21"/>
        </w:rPr>
        <w:t>谈判响应</w:t>
      </w:r>
      <w:r>
        <w:rPr>
          <w:rFonts w:hint="eastAsia" w:ascii="Arial" w:hAnsi="Arial" w:cs="Arial"/>
          <w:color w:val="auto"/>
        </w:rPr>
        <w:t>文件中须提供）；银行、保险、石油化工、电力、电信等特殊行业的分公司取得总公司相关授权后，</w:t>
      </w:r>
      <w:r>
        <w:rPr>
          <w:rFonts w:hint="eastAsia" w:ascii="宋体" w:hAnsi="宋体" w:cs="宋体"/>
          <w:color w:val="auto"/>
          <w:szCs w:val="21"/>
        </w:rPr>
        <w:t>谈判</w:t>
      </w:r>
      <w:r>
        <w:rPr>
          <w:rFonts w:hint="eastAsia" w:ascii="Arial" w:hAnsi="Arial" w:cs="Arial"/>
          <w:color w:val="auto"/>
        </w:rPr>
        <w:t>文件中关于法定代表人的要求事项可由分公司负责人代理。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4</w:t>
      </w:r>
      <w:r>
        <w:rPr>
          <w:rFonts w:hint="eastAsia" w:ascii="宋体" w:hAnsi="宋体" w:cs="宋体"/>
          <w:color w:val="auto"/>
          <w:szCs w:val="21"/>
        </w:rPr>
        <w:t>、谈判响应人必须确保自己信息真实、准确，否则，谈判响应人因此蒙受损失，采购单位概不负责。</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auto"/>
          <w:szCs w:val="21"/>
        </w:rPr>
      </w:pPr>
      <w:r>
        <w:rPr>
          <w:rFonts w:hint="eastAsia" w:ascii="宋体" w:hAnsi="宋体" w:cs="宋体"/>
          <w:b/>
          <w:color w:val="auto"/>
          <w:szCs w:val="21"/>
        </w:rPr>
        <w:t>5、联合体响应</w:t>
      </w:r>
    </w:p>
    <w:p>
      <w:pPr>
        <w:spacing w:line="360" w:lineRule="auto"/>
        <w:rPr>
          <w:rFonts w:ascii="宋体" w:hAnsi="宋体" w:cs="宋体"/>
          <w:color w:val="auto"/>
          <w:szCs w:val="21"/>
        </w:rPr>
      </w:pPr>
      <w:r>
        <w:rPr>
          <w:rFonts w:hint="eastAsia" w:ascii="宋体" w:hAnsi="宋体" w:cs="宋体"/>
          <w:color w:val="auto"/>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auto"/>
          <w:szCs w:val="21"/>
        </w:rPr>
      </w:pPr>
      <w:r>
        <w:rPr>
          <w:rFonts w:hint="eastAsia" w:ascii="宋体" w:hAnsi="宋体" w:cs="宋体"/>
          <w:color w:val="auto"/>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auto"/>
          <w:szCs w:val="21"/>
        </w:rPr>
      </w:pPr>
      <w:r>
        <w:rPr>
          <w:rFonts w:hint="eastAsia" w:ascii="宋体" w:hAnsi="宋体" w:cs="宋体"/>
          <w:color w:val="auto"/>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r>
        <w:rPr>
          <w:rFonts w:hint="eastAsia" w:ascii="宋体" w:hAnsi="宋体" w:cs="宋体"/>
          <w:color w:val="auto"/>
          <w:szCs w:val="21"/>
        </w:rPr>
        <w:t>不论成交与否，采购单位在任何情况下均无义务和责任承担这些费用。</w:t>
      </w:r>
    </w:p>
    <w:p>
      <w:pPr>
        <w:pStyle w:val="5"/>
        <w:ind w:firstLine="472" w:firstLineChars="196"/>
        <w:rPr>
          <w:rFonts w:hAnsi="宋体" w:cs="宋体"/>
          <w:color w:val="auto"/>
        </w:rPr>
      </w:pPr>
      <w:bookmarkStart w:id="53" w:name="_Toc8536"/>
      <w:bookmarkStart w:id="54" w:name="_Toc54939192"/>
      <w:r>
        <w:rPr>
          <w:rFonts w:hint="eastAsia" w:hAnsi="宋体" w:cs="宋体"/>
          <w:color w:val="auto"/>
        </w:rPr>
        <w:t>二、竞争性谈判文件</w:t>
      </w:r>
      <w:bookmarkEnd w:id="53"/>
      <w:bookmarkEnd w:id="54"/>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7、竞争性谈判文件的构成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7.1、竞争性谈判文件包括：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（1）第一章  竞争性谈判公告；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（2）第二章  谈判响应人须知；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（3）第三章  </w:t>
      </w:r>
      <w:r>
        <w:rPr>
          <w:rFonts w:hint="eastAsia" w:ascii="宋体" w:hAnsi="宋体" w:cs="宋体"/>
          <w:color w:val="000000"/>
          <w:szCs w:val="21"/>
          <w:highlight w:val="none"/>
        </w:rPr>
        <w:t>货物需求及技术要求</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（4）第四章  合同主要条款；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（5）第五章  谈判响应文件格式。</w:t>
      </w:r>
    </w:p>
    <w:p>
      <w:pPr>
        <w:spacing w:line="360" w:lineRule="auto"/>
        <w:rPr>
          <w:rFonts w:ascii="宋体" w:hAnsi="宋体" w:cs="宋体"/>
          <w:color w:val="auto"/>
          <w:szCs w:val="21"/>
        </w:rPr>
      </w:pPr>
      <w:r>
        <w:rPr>
          <w:rFonts w:hint="eastAsia" w:ascii="宋体" w:hAnsi="宋体" w:cs="宋体"/>
          <w:color w:val="auto"/>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rPr>
      </w:pPr>
      <w:r>
        <w:rPr>
          <w:rFonts w:hint="eastAsia" w:ascii="宋体" w:hAnsi="宋体" w:cs="宋体"/>
          <w:color w:val="auto"/>
          <w:szCs w:val="21"/>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并将问题发送至邮箱504476178@qq.com</w:t>
      </w:r>
      <w:r>
        <w:rPr>
          <w:rFonts w:hint="eastAsia" w:ascii="宋体" w:hAnsi="宋体" w:cs="宋体"/>
          <w:color w:val="auto"/>
          <w:szCs w:val="21"/>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rPr>
        <w:t>约定，</w:t>
      </w:r>
      <w:r>
        <w:rPr>
          <w:rFonts w:hint="eastAsia" w:ascii="宋体" w:hAnsi="宋体" w:cs="宋体"/>
          <w:color w:val="auto"/>
          <w:szCs w:val="21"/>
        </w:rPr>
        <w:t>该谈判响应有可能被拒绝。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highlight w:val="none"/>
        </w:rPr>
        <w:t>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向采购单位提出并将问题发送至邮箱504476178@qq.com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9、竞争性谈判文件的修改</w:t>
      </w:r>
    </w:p>
    <w:p>
      <w:pPr>
        <w:spacing w:line="360" w:lineRule="auto"/>
        <w:rPr>
          <w:rFonts w:ascii="宋体" w:hAnsi="宋体" w:cs="宋体"/>
          <w:color w:val="auto"/>
          <w:szCs w:val="21"/>
        </w:rPr>
      </w:pPr>
      <w:r>
        <w:rPr>
          <w:rFonts w:hint="eastAsia" w:ascii="宋体" w:hAnsi="宋体" w:cs="宋体"/>
          <w:color w:val="auto"/>
          <w:szCs w:val="21"/>
        </w:rPr>
        <w:t xml:space="preserve">    9.1、采购单位可以对竞争性谈判文件进行修改。</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w:t>
      </w:r>
      <w:r>
        <w:rPr>
          <w:rFonts w:hint="eastAsia" w:ascii="宋体" w:hAnsi="宋体" w:cs="宋体"/>
          <w:b/>
          <w:bCs/>
          <w:color w:val="auto"/>
          <w:szCs w:val="21"/>
          <w:highlight w:val="none"/>
        </w:rPr>
        <w:t>采购单位对谈判响应人质疑的答复和对竞争性谈判文件的澄清、修改、补充说明等内容均通过</w:t>
      </w:r>
      <w:r>
        <w:rPr>
          <w:rFonts w:hint="eastAsia" w:ascii="宋体" w:hAnsi="宋体" w:eastAsia="宋体" w:cs="宋体"/>
          <w:b/>
          <w:bCs/>
          <w:color w:val="auto"/>
          <w:szCs w:val="21"/>
          <w:highlight w:val="none"/>
        </w:rPr>
        <w:t>安庆</w:t>
      </w:r>
      <w:r>
        <w:rPr>
          <w:rFonts w:hint="eastAsia" w:ascii="宋体" w:hAnsi="宋体" w:eastAsia="宋体" w:cs="宋体"/>
          <w:b/>
          <w:bCs/>
          <w:color w:val="auto"/>
          <w:szCs w:val="21"/>
          <w:highlight w:val="none"/>
          <w:lang w:val="en-US" w:eastAsia="zh-CN"/>
        </w:rPr>
        <w:t>职业技术学院（https://www.aqvtc.edu.cn/）招标采购栏目</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rPr>
      </w:pPr>
      <w:r>
        <w:rPr>
          <w:rFonts w:hint="eastAsia" w:ascii="宋体" w:hAnsi="宋体" w:cs="宋体"/>
          <w:color w:val="auto"/>
          <w:szCs w:val="21"/>
        </w:rPr>
        <w:t xml:space="preserve">    9.3、当竞争性谈判文件与对竞争性谈判文件的澄清、修改、补充等在同一内容的表述上不一致时，以最后发出的为准。</w:t>
      </w:r>
    </w:p>
    <w:p>
      <w:pPr>
        <w:spacing w:line="360" w:lineRule="auto"/>
        <w:rPr>
          <w:rFonts w:ascii="宋体" w:hAnsi="宋体" w:cs="宋体"/>
          <w:color w:val="auto"/>
          <w:szCs w:val="21"/>
        </w:rPr>
      </w:pPr>
      <w:r>
        <w:rPr>
          <w:rFonts w:hint="eastAsia" w:ascii="宋体" w:hAnsi="宋体" w:cs="宋体"/>
          <w:color w:val="auto"/>
          <w:szCs w:val="21"/>
        </w:rPr>
        <w:t xml:space="preserve">    9.4、</w:t>
      </w:r>
      <w:r>
        <w:rPr>
          <w:rFonts w:hint="eastAsia" w:ascii="宋体" w:hAnsi="宋体" w:cs="宋体"/>
          <w:color w:val="auto"/>
          <w:szCs w:val="21"/>
          <w:highlight w:val="none"/>
        </w:rPr>
        <w:t>为使谈判响应人有充分时间对竞争性谈判文件的澄清、修改、补充部分进行研究，或是由于其他原因，采购单位可以决定顺延提交响应文件截止时间，</w:t>
      </w:r>
      <w:r>
        <w:rPr>
          <w:rFonts w:hint="eastAsia" w:ascii="宋体" w:hAnsi="宋体" w:cs="宋体"/>
          <w:b w:val="0"/>
          <w:bCs w:val="0"/>
          <w:color w:val="auto"/>
          <w:szCs w:val="21"/>
          <w:highlight w:val="none"/>
        </w:rPr>
        <w:t>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w:t>
      </w:r>
      <w:r>
        <w:rPr>
          <w:rFonts w:hint="eastAsia" w:ascii="宋体" w:hAnsi="宋体" w:cs="宋体"/>
          <w:b w:val="0"/>
          <w:bCs w:val="0"/>
          <w:color w:val="auto"/>
          <w:szCs w:val="21"/>
          <w:highlight w:val="none"/>
        </w:rPr>
        <w:t>发布。</w:t>
      </w:r>
    </w:p>
    <w:p>
      <w:pPr>
        <w:pStyle w:val="5"/>
        <w:ind w:firstLine="482" w:firstLineChars="200"/>
        <w:rPr>
          <w:rFonts w:hAnsi="宋体" w:cs="宋体"/>
          <w:color w:val="auto"/>
        </w:rPr>
      </w:pPr>
      <w:bookmarkStart w:id="55" w:name="_Toc9821"/>
      <w:bookmarkStart w:id="56" w:name="_Toc54939193"/>
      <w:r>
        <w:rPr>
          <w:rFonts w:hint="eastAsia" w:hAnsi="宋体" w:cs="宋体"/>
          <w:color w:val="auto"/>
        </w:rPr>
        <w:t>三、谈判响应文件的编制</w:t>
      </w:r>
      <w:bookmarkEnd w:id="55"/>
      <w:bookmarkEnd w:id="56"/>
    </w:p>
    <w:p>
      <w:pPr>
        <w:spacing w:line="360" w:lineRule="auto"/>
        <w:rPr>
          <w:rFonts w:ascii="宋体" w:hAnsi="宋体" w:cs="宋体"/>
          <w:b/>
          <w:color w:val="auto"/>
          <w:szCs w:val="21"/>
        </w:rPr>
      </w:pPr>
      <w:r>
        <w:rPr>
          <w:rFonts w:hint="eastAsia" w:ascii="宋体" w:hAnsi="宋体" w:cs="宋体"/>
          <w:b/>
          <w:color w:val="auto"/>
          <w:szCs w:val="21"/>
        </w:rPr>
        <w:t xml:space="preserve">    10、谈判响应的语言及度量衡单位</w:t>
      </w:r>
    </w:p>
    <w:p>
      <w:pPr>
        <w:spacing w:line="360" w:lineRule="auto"/>
        <w:rPr>
          <w:rFonts w:ascii="宋体" w:hAnsi="宋体" w:cs="宋体"/>
          <w:color w:val="auto"/>
          <w:szCs w:val="21"/>
        </w:rPr>
      </w:pPr>
      <w:r>
        <w:rPr>
          <w:rFonts w:hint="eastAsia" w:ascii="宋体" w:hAnsi="宋体" w:cs="宋体"/>
          <w:color w:val="auto"/>
          <w:szCs w:val="21"/>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rPr>
      </w:pPr>
      <w:r>
        <w:rPr>
          <w:rFonts w:hint="eastAsia" w:ascii="宋体" w:hAnsi="宋体" w:cs="宋体"/>
          <w:color w:val="auto"/>
          <w:szCs w:val="21"/>
        </w:rPr>
        <w:t xml:space="preserve">    10.2、除竞争性谈判文件中另有</w:t>
      </w:r>
      <w:r>
        <w:rPr>
          <w:rFonts w:hint="eastAsia" w:ascii="宋体" w:hAnsi="宋体" w:cs="宋体"/>
          <w:color w:val="auto"/>
        </w:rPr>
        <w:t>约定</w:t>
      </w:r>
      <w:r>
        <w:rPr>
          <w:rFonts w:hint="eastAsia" w:ascii="宋体" w:hAnsi="宋体" w:cs="宋体"/>
          <w:color w:val="auto"/>
          <w:szCs w:val="21"/>
        </w:rPr>
        <w:t>外，谈判响应文件所使用的度量衡均须采用中华人民共和国法定计量单位。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11、谈判响应文件的构成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11.1、谈判响应文件应该按照“谈判响应文件格式”</w:t>
      </w:r>
      <w:r>
        <w:rPr>
          <w:rFonts w:hint="eastAsia" w:ascii="宋体" w:hAnsi="宋体" w:cs="宋体"/>
          <w:color w:val="auto"/>
        </w:rPr>
        <w:t>约定</w:t>
      </w:r>
      <w:r>
        <w:rPr>
          <w:rFonts w:hint="eastAsia" w:ascii="宋体" w:hAnsi="宋体" w:cs="宋体"/>
          <w:color w:val="auto"/>
          <w:szCs w:val="21"/>
        </w:rPr>
        <w:t>的内容和顺序进行编写。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11.2、谈判响应人应提交“谈判响应人须知前附表”中</w:t>
      </w:r>
      <w:r>
        <w:rPr>
          <w:rFonts w:hint="eastAsia" w:ascii="宋体" w:hAnsi="宋体" w:cs="宋体"/>
          <w:color w:val="auto"/>
        </w:rPr>
        <w:t>约定</w:t>
      </w:r>
      <w:r>
        <w:rPr>
          <w:rFonts w:hint="eastAsia" w:ascii="宋体" w:hAnsi="宋体" w:cs="宋体"/>
          <w:color w:val="auto"/>
          <w:szCs w:val="21"/>
        </w:rPr>
        <w:t>的谈判响应文件。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11.4、谈判响应人提供的产品质量和服务均能满足竞争性谈判文件</w:t>
      </w:r>
      <w:r>
        <w:rPr>
          <w:rFonts w:hint="eastAsia" w:ascii="宋体" w:hAnsi="宋体" w:cs="宋体"/>
          <w:color w:val="auto"/>
        </w:rPr>
        <w:t>约定</w:t>
      </w:r>
      <w:r>
        <w:rPr>
          <w:rFonts w:hint="eastAsia" w:ascii="宋体" w:hAnsi="宋体" w:cs="宋体"/>
          <w:color w:val="auto"/>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12、谈判响应报价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w:t>
      </w:r>
      <w:r>
        <w:rPr>
          <w:rFonts w:hint="eastAsia" w:ascii="宋体" w:hAnsi="宋体" w:cs="宋体"/>
          <w:color w:val="000000"/>
          <w:szCs w:val="21"/>
          <w:highlight w:val="none"/>
        </w:rPr>
        <w:t>谈判响应文件的货物报价表(首轮）上应清楚地标明谈判响应人拟提供货物的名称、生产厂家、品牌、型号、单位、数量、单价和总价等内容。单价不作为合同结算依据</w:t>
      </w:r>
      <w:r>
        <w:rPr>
          <w:rFonts w:hint="eastAsia" w:ascii="宋体" w:hAnsi="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rPr>
      </w:pPr>
      <w:r>
        <w:rPr>
          <w:rFonts w:hint="eastAsia" w:ascii="宋体" w:hAnsi="宋体" w:cs="宋体"/>
          <w:color w:val="auto"/>
          <w:szCs w:val="21"/>
        </w:rPr>
        <w:t>12.3、</w:t>
      </w:r>
      <w:r>
        <w:rPr>
          <w:rFonts w:hint="eastAsia" w:ascii="宋体" w:hAnsi="宋体" w:cs="宋体"/>
          <w:color w:val="000000"/>
          <w:szCs w:val="21"/>
          <w:highlight w:val="none"/>
        </w:rPr>
        <w:t>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highlight w:val="none"/>
        </w:rPr>
        <w:t>后约定</w:t>
      </w:r>
      <w:r>
        <w:rPr>
          <w:rFonts w:hint="eastAsia" w:ascii="宋体" w:hAnsi="宋体" w:cs="宋体"/>
          <w:color w:val="000000"/>
          <w:szCs w:val="21"/>
          <w:highlight w:val="none"/>
        </w:rPr>
        <w:t>期限内维保等）</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12.4、谈判响应报价高于最高限价的谈判响应无效。</w:t>
      </w:r>
    </w:p>
    <w:p>
      <w:pPr>
        <w:spacing w:line="360" w:lineRule="auto"/>
        <w:ind w:firstLine="420" w:firstLineChars="200"/>
        <w:rPr>
          <w:rFonts w:ascii="宋体" w:hAnsi="宋体"/>
          <w:color w:val="auto"/>
          <w:szCs w:val="21"/>
        </w:rPr>
      </w:pPr>
      <w:r>
        <w:rPr>
          <w:rFonts w:hint="eastAsia" w:ascii="宋体" w:hAnsi="宋体"/>
          <w:color w:val="auto"/>
          <w:szCs w:val="21"/>
        </w:rPr>
        <w:t>12.</w:t>
      </w:r>
      <w:r>
        <w:rPr>
          <w:rFonts w:ascii="宋体" w:hAnsi="宋体"/>
          <w:color w:val="auto"/>
          <w:szCs w:val="21"/>
        </w:rPr>
        <w:t>5</w:t>
      </w:r>
      <w:r>
        <w:rPr>
          <w:rFonts w:hint="eastAsia" w:ascii="宋体" w:hAnsi="宋体"/>
          <w:color w:val="auto"/>
          <w:szCs w:val="21"/>
        </w:rPr>
        <w:t>、谈判响应文件内容不一致的确认。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5.2</w:t>
      </w:r>
      <w:r>
        <w:rPr>
          <w:rFonts w:hint="eastAsia" w:ascii="宋体" w:hAnsi="宋体" w:cs="宋体"/>
          <w:color w:val="auto"/>
          <w:szCs w:val="21"/>
        </w:rPr>
        <w:t>、若大写金额和小写金额不一致的，以大写金额为准;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5.3</w:t>
      </w:r>
      <w:r>
        <w:rPr>
          <w:rFonts w:hint="eastAsia" w:ascii="宋体" w:hAnsi="宋体" w:cs="宋体"/>
          <w:color w:val="auto"/>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auto"/>
          <w:szCs w:val="21"/>
        </w:rPr>
      </w:pPr>
      <w:r>
        <w:rPr>
          <w:rFonts w:hint="eastAsia" w:ascii="宋体" w:hAnsi="宋体" w:cs="宋体"/>
          <w:b/>
          <w:color w:val="auto"/>
          <w:szCs w:val="21"/>
        </w:rPr>
        <w:t>谈判响应货币：</w:t>
      </w:r>
      <w:r>
        <w:rPr>
          <w:rFonts w:hint="eastAsia" w:ascii="宋体" w:hAnsi="宋体" w:cs="宋体"/>
          <w:color w:val="auto"/>
          <w:szCs w:val="21"/>
        </w:rPr>
        <w:t>人民币。</w:t>
      </w:r>
    </w:p>
    <w:p>
      <w:pPr>
        <w:numPr>
          <w:ilvl w:val="0"/>
          <w:numId w:val="1"/>
        </w:numPr>
        <w:spacing w:line="360" w:lineRule="auto"/>
        <w:ind w:firstLine="422" w:firstLineChars="200"/>
        <w:rPr>
          <w:rFonts w:hint="default" w:ascii="宋体" w:hAnsi="宋体" w:eastAsia="宋体" w:cs="宋体"/>
          <w:color w:val="auto"/>
          <w:szCs w:val="21"/>
          <w:lang w:val="en-US" w:eastAsia="zh-CN"/>
        </w:rPr>
      </w:pPr>
      <w:r>
        <w:rPr>
          <w:rFonts w:hint="eastAsia" w:ascii="宋体" w:hAnsi="宋体" w:cs="宋体"/>
          <w:b/>
          <w:color w:val="auto"/>
          <w:szCs w:val="21"/>
        </w:rPr>
        <w:t>谈判响应保证金</w:t>
      </w:r>
      <w:r>
        <w:rPr>
          <w:rFonts w:hint="eastAsia" w:ascii="宋体" w:hAnsi="宋体" w:cs="宋体"/>
          <w:b/>
          <w:color w:val="auto"/>
          <w:szCs w:val="21"/>
          <w:lang w:eastAsia="zh-CN"/>
        </w:rPr>
        <w:t>：</w:t>
      </w:r>
      <w:r>
        <w:rPr>
          <w:rFonts w:hint="eastAsia" w:ascii="宋体" w:hAnsi="宋体" w:cs="宋体"/>
          <w:color w:val="auto"/>
          <w:szCs w:val="21"/>
          <w:lang w:val="en-US" w:eastAsia="zh-CN"/>
        </w:rPr>
        <w:t>本项目不收取</w:t>
      </w:r>
    </w:p>
    <w:p>
      <w:pPr>
        <w:spacing w:line="360" w:lineRule="auto"/>
        <w:ind w:firstLine="420" w:firstLineChars="200"/>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、有下列情形之一的，视为谈判响应人串通投标，其谈判响应无效：</w:t>
      </w:r>
    </w:p>
    <w:p>
      <w:pPr>
        <w:spacing w:line="360" w:lineRule="auto"/>
        <w:ind w:firstLine="420" w:firstLineChars="200"/>
        <w:rPr>
          <w:rFonts w:ascii="宋体" w:hAnsi="宋体"/>
          <w:color w:val="auto"/>
          <w:szCs w:val="21"/>
        </w:rPr>
      </w:pPr>
      <w:r>
        <w:rPr>
          <w:rFonts w:hint="eastAsia" w:ascii="宋体" w:hAnsi="宋体"/>
          <w:color w:val="auto"/>
          <w:szCs w:val="21"/>
        </w:rPr>
        <w:t>（1）不同谈判响应人的谈判响应文件由同一单位或者个人编制；</w:t>
      </w:r>
    </w:p>
    <w:p>
      <w:pPr>
        <w:spacing w:line="360" w:lineRule="auto"/>
        <w:ind w:firstLine="420" w:firstLineChars="200"/>
        <w:rPr>
          <w:rFonts w:ascii="宋体" w:hAnsi="宋体"/>
          <w:color w:val="auto"/>
          <w:szCs w:val="21"/>
        </w:rPr>
      </w:pPr>
      <w:r>
        <w:rPr>
          <w:rFonts w:hint="eastAsia" w:ascii="宋体" w:hAnsi="宋体"/>
          <w:color w:val="auto"/>
          <w:szCs w:val="21"/>
        </w:rPr>
        <w:t>（2）不同谈判响应人委托同一单位或者个人办理谈判响应事宜；</w:t>
      </w:r>
    </w:p>
    <w:p>
      <w:pPr>
        <w:spacing w:line="360" w:lineRule="auto"/>
        <w:ind w:firstLine="420" w:firstLineChars="200"/>
        <w:rPr>
          <w:rFonts w:ascii="宋体" w:hAnsi="宋体"/>
          <w:color w:val="auto"/>
          <w:szCs w:val="21"/>
        </w:rPr>
      </w:pPr>
      <w:r>
        <w:rPr>
          <w:rFonts w:hint="eastAsia" w:ascii="宋体" w:hAnsi="宋体"/>
          <w:color w:val="auto"/>
          <w:szCs w:val="21"/>
        </w:rPr>
        <w:t>（3）不同谈判响应人的谈判响应文件载明的项目管理成员或联系人员为同一人；</w:t>
      </w:r>
    </w:p>
    <w:p>
      <w:pPr>
        <w:spacing w:line="360" w:lineRule="auto"/>
        <w:ind w:firstLine="420" w:firstLineChars="200"/>
        <w:rPr>
          <w:rFonts w:ascii="宋体" w:hAnsi="宋体"/>
          <w:color w:val="auto"/>
          <w:szCs w:val="21"/>
        </w:rPr>
      </w:pPr>
      <w:r>
        <w:rPr>
          <w:rFonts w:hint="eastAsia" w:ascii="宋体" w:hAnsi="宋体"/>
          <w:color w:val="auto"/>
          <w:szCs w:val="21"/>
        </w:rPr>
        <w:t>（4）不同谈判响应人的谈判响应文件异常一致或者谈判响应报价呈规律性差异；</w:t>
      </w:r>
    </w:p>
    <w:p>
      <w:pPr>
        <w:spacing w:line="360" w:lineRule="auto"/>
        <w:ind w:firstLine="420" w:firstLineChars="200"/>
        <w:rPr>
          <w:rFonts w:ascii="宋体" w:hAnsi="宋体"/>
          <w:color w:val="auto"/>
          <w:szCs w:val="21"/>
        </w:rPr>
      </w:pPr>
      <w:r>
        <w:rPr>
          <w:rFonts w:hint="eastAsia" w:ascii="宋体" w:hAnsi="宋体"/>
          <w:color w:val="auto"/>
          <w:szCs w:val="21"/>
        </w:rPr>
        <w:t>（5）不同谈判响应人的谈判响应文件相互混装；</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b/>
          <w:color w:val="auto"/>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color w:val="auto"/>
        </w:rPr>
      </w:pPr>
      <w:r>
        <w:rPr>
          <w:rFonts w:hint="eastAsia" w:ascii="宋体" w:hAnsi="宋体" w:cs="宋体"/>
          <w:color w:val="auto"/>
        </w:rPr>
        <w:t>（1）成交后无正当理由不与采购单位签订合同的；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（3）将成交项目转让给他人、或在谈判响应文件中未说明，将成交项目分包给他人的；</w:t>
      </w:r>
    </w:p>
    <w:p>
      <w:pPr>
        <w:spacing w:line="360" w:lineRule="auto"/>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谈判响应人相互串通或者与采购人串通的；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（5）谈判响应人以向采购人或者谈判小组成员行贿的手段谋取成交的；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（6）谈判响应人以他人名义谈判响应或者以其他方式弄虚作假，骗取成交的；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（7）违法与采购人就价格、方案等实质性内容进行谈判，影响成交结果的；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（8）法律、法规规定及竞争性谈判文件约定的其他情形。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15、谈判响应有效期</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15.1、谈判响应有效期见“谈判响应人须知前附表”的约定。</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color w:val="auto"/>
          <w:szCs w:val="21"/>
        </w:rPr>
      </w:pPr>
      <w:r>
        <w:rPr>
          <w:rFonts w:hint="eastAsia" w:hAnsi="宋体" w:cs="宋体"/>
          <w:b/>
          <w:color w:val="auto"/>
          <w:szCs w:val="21"/>
        </w:rPr>
        <w:t>16、谈判响应文件的签署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16.2、谈判响应文件应由谈判响应人的法定代表人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16.3、谈判响应文件不得行间插字、涂改或增删。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16.4、</w:t>
      </w:r>
      <w:r>
        <w:rPr>
          <w:rFonts w:hint="eastAsia" w:ascii="宋体" w:hAnsi="宋体" w:cs="宋体"/>
          <w:b/>
          <w:color w:val="auto"/>
        </w:rPr>
        <w:t>谈判响应文件封面、谈判响应函、</w:t>
      </w:r>
      <w:r>
        <w:rPr>
          <w:rFonts w:hint="eastAsia" w:ascii="宋体" w:hAnsi="宋体" w:cs="宋体"/>
          <w:b/>
          <w:color w:val="auto"/>
          <w:lang w:eastAsia="zh-CN"/>
        </w:rPr>
        <w:t>货物报价表</w:t>
      </w:r>
      <w:r>
        <w:rPr>
          <w:rFonts w:hint="eastAsia" w:ascii="宋体" w:hAnsi="宋体" w:cs="宋体"/>
          <w:b/>
          <w:color w:val="auto"/>
        </w:rPr>
        <w:t>（首轮）、最终报价表、</w:t>
      </w:r>
      <w:r>
        <w:rPr>
          <w:rFonts w:hint="eastAsia" w:ascii="宋体" w:hAnsi="宋体" w:cs="宋体"/>
          <w:b/>
          <w:color w:val="000000"/>
          <w:highlight w:val="none"/>
        </w:rPr>
        <w:t>技术参数响应</w:t>
      </w:r>
      <w:r>
        <w:rPr>
          <w:rFonts w:hint="eastAsia" w:ascii="宋体" w:hAnsi="宋体" w:cs="宋体"/>
          <w:b/>
          <w:color w:val="auto"/>
        </w:rPr>
        <w:t>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均应加盖谈判响应人公章并经法定代表人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w:t>
      </w:r>
      <w:r>
        <w:rPr>
          <w:rFonts w:hint="eastAsia" w:ascii="宋体" w:hAnsi="宋体" w:cs="宋体"/>
          <w:b/>
          <w:color w:val="auto"/>
          <w:spacing w:val="-2"/>
          <w:lang w:eastAsia="zh-CN"/>
        </w:rPr>
        <w:t>货物报价表</w:t>
      </w:r>
      <w:r>
        <w:rPr>
          <w:rFonts w:hint="eastAsia" w:ascii="宋体" w:hAnsi="宋体" w:cs="宋体"/>
          <w:b/>
          <w:color w:val="auto"/>
          <w:spacing w:val="-2"/>
        </w:rPr>
        <w:t>（首轮）、最终报价表、</w:t>
      </w:r>
      <w:r>
        <w:rPr>
          <w:rFonts w:hint="eastAsia" w:ascii="宋体" w:hAnsi="宋体" w:cs="宋体"/>
          <w:b/>
          <w:color w:val="auto"/>
          <w:lang w:eastAsia="zh-CN"/>
        </w:rPr>
        <w:t>技术参数响应表、</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不符合谈判文件要求的，谈判小组可要求其法定代表人或其委托的委托代理人补齐签字或承诺在签订合同前按照谈判文件要求加盖印章。</w:t>
      </w:r>
    </w:p>
    <w:p>
      <w:pPr>
        <w:pStyle w:val="5"/>
        <w:numPr>
          <w:ilvl w:val="0"/>
          <w:numId w:val="2"/>
        </w:numPr>
        <w:ind w:firstLine="472" w:firstLineChars="196"/>
        <w:rPr>
          <w:rFonts w:hAnsi="宋体" w:cs="宋体"/>
          <w:color w:val="auto"/>
        </w:rPr>
      </w:pPr>
      <w:bookmarkStart w:id="57" w:name="_Toc25319"/>
      <w:bookmarkStart w:id="58" w:name="_Toc54939194"/>
      <w:r>
        <w:rPr>
          <w:rFonts w:hint="eastAsia" w:hAnsi="宋体" w:cs="宋体"/>
          <w:color w:val="auto"/>
        </w:rPr>
        <w:t>谈判响应文件的提交</w:t>
      </w:r>
      <w:bookmarkEnd w:id="57"/>
      <w:bookmarkEnd w:id="58"/>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.1响应文件需采用固定胶装方式装订并编码，不得采用活页装订。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59" w:name="_Toc23598"/>
      <w:bookmarkStart w:id="60"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5"/>
        <w:ind w:firstLine="472" w:firstLineChars="196"/>
        <w:rPr>
          <w:rFonts w:hAnsi="宋体" w:cs="宋体"/>
          <w:color w:val="auto"/>
        </w:rPr>
      </w:pPr>
      <w:r>
        <w:rPr>
          <w:rFonts w:hint="eastAsia" w:hAnsi="宋体" w:cs="宋体"/>
          <w:color w:val="auto"/>
        </w:rPr>
        <w:t>五、</w:t>
      </w:r>
      <w:bookmarkEnd w:id="59"/>
      <w:r>
        <w:rPr>
          <w:rFonts w:hint="eastAsia" w:hAnsi="宋体" w:cs="宋体"/>
          <w:color w:val="auto"/>
        </w:rPr>
        <w:t>谈判程序</w:t>
      </w:r>
      <w:bookmarkEnd w:id="60"/>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20、谈判时间和地点：</w:t>
      </w:r>
      <w:r>
        <w:rPr>
          <w:rFonts w:hint="eastAsia" w:ascii="宋体" w:hAnsi="宋体" w:cs="宋体"/>
          <w:color w:val="auto"/>
          <w:szCs w:val="21"/>
        </w:rPr>
        <w:t>采购单位将在“谈判响应人须知前附表”约定的时间和地点谈判，并邀请监督人员、所有谈判响应人的法定代表人或</w:t>
      </w:r>
      <w:r>
        <w:rPr>
          <w:rFonts w:hint="eastAsia" w:ascii="宋体" w:hAnsi="宋体" w:cs="宋体"/>
          <w:color w:val="auto"/>
          <w:szCs w:val="21"/>
          <w:lang w:val="en-US" w:eastAsia="zh-CN"/>
        </w:rPr>
        <w:t>委托代理人</w:t>
      </w:r>
      <w:r>
        <w:rPr>
          <w:rFonts w:hint="eastAsia" w:ascii="宋体" w:hAnsi="宋体" w:cs="宋体"/>
          <w:color w:val="auto"/>
          <w:szCs w:val="21"/>
        </w:rPr>
        <w:t>按时参加。</w:t>
      </w:r>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 xml:space="preserve">检查谈判响应文件的密封情况；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复会，宣布评审结果。</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21.2、查验证件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21.2.1、采购人审查谈判响应人以下证件，</w:t>
      </w:r>
      <w:r>
        <w:rPr>
          <w:rFonts w:hint="eastAsia" w:ascii="宋体" w:hAnsi="宋体"/>
          <w:color w:val="auto"/>
          <w:szCs w:val="21"/>
        </w:rPr>
        <w:t>若证件不全或不符合要求，则查验不合格,由谈判小组认定其谈判响应无效。</w:t>
      </w:r>
    </w:p>
    <w:p>
      <w:pPr>
        <w:widowControl/>
        <w:spacing w:line="500" w:lineRule="exact"/>
        <w:ind w:firstLine="422" w:firstLineChars="200"/>
        <w:jc w:val="left"/>
        <w:rPr>
          <w:rFonts w:ascii="宋体" w:hAnsi="宋体"/>
          <w:b/>
          <w:bCs w:val="0"/>
          <w:color w:val="auto"/>
          <w:szCs w:val="21"/>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w:t>
      </w:r>
      <w:r>
        <w:rPr>
          <w:rFonts w:hint="eastAsia" w:ascii="宋体" w:hAnsi="宋体"/>
          <w:b/>
          <w:bCs w:val="0"/>
          <w:color w:val="auto"/>
          <w:szCs w:val="21"/>
          <w:highlight w:val="none"/>
        </w:rPr>
        <w:t>书格式见附件）</w:t>
      </w:r>
      <w:r>
        <w:rPr>
          <w:rFonts w:hint="eastAsia" w:ascii="宋体" w:hAnsi="宋体"/>
          <w:b/>
          <w:bCs w:val="0"/>
          <w:color w:val="auto"/>
          <w:szCs w:val="21"/>
        </w:rPr>
        <w:t xml:space="preserve">  </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w:t>
      </w:r>
      <w:r>
        <w:rPr>
          <w:rFonts w:hint="eastAsia" w:ascii="宋体" w:hAnsi="宋体" w:cs="宋体"/>
          <w:color w:val="auto"/>
          <w:szCs w:val="21"/>
          <w:lang w:val="en-US" w:eastAsia="zh-CN"/>
        </w:rPr>
        <w:t>2</w:t>
      </w:r>
      <w:r>
        <w:rPr>
          <w:rFonts w:hint="eastAsia" w:ascii="宋体" w:hAnsi="宋体" w:cs="宋体"/>
          <w:color w:val="auto"/>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22、谈判响应文件的有效性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22.1、谈判响应文件有下列情形之一的，将不予受理：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（1）逾期送达的或者未送达至指定地点的；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（2）未按竞争性谈判文件要求包装、密封的。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22.2.1、谈判响应人未按要求参加开标会、未按要求出示</w:t>
      </w:r>
      <w:r>
        <w:rPr>
          <w:rFonts w:hint="eastAsia" w:ascii="宋体" w:hAnsi="宋体" w:cs="宋体"/>
          <w:color w:val="auto"/>
          <w:szCs w:val="21"/>
          <w:lang w:val="en-US" w:eastAsia="zh-CN"/>
        </w:rPr>
        <w:t>材料</w:t>
      </w:r>
      <w:r>
        <w:rPr>
          <w:rFonts w:hint="eastAsia" w:ascii="宋体" w:hAnsi="宋体" w:cs="宋体"/>
          <w:color w:val="auto"/>
          <w:szCs w:val="21"/>
        </w:rPr>
        <w:t>供现场查验或经查验不合格的；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22.2.2</w:t>
      </w:r>
      <w:r>
        <w:rPr>
          <w:rFonts w:hint="eastAsia" w:ascii="宋体" w:hAnsi="宋体" w:cs="宋体"/>
          <w:color w:val="auto"/>
        </w:rPr>
        <w:t>谈判响应文件封面、谈判响应函、</w:t>
      </w:r>
      <w:r>
        <w:rPr>
          <w:rFonts w:hint="eastAsia" w:ascii="宋体" w:hAnsi="宋体" w:cs="宋体"/>
          <w:color w:val="auto"/>
          <w:lang w:eastAsia="zh-CN"/>
        </w:rPr>
        <w:t>货物报价表</w:t>
      </w:r>
      <w:r>
        <w:rPr>
          <w:rFonts w:hint="eastAsia" w:ascii="宋体" w:hAnsi="宋体" w:cs="宋体"/>
          <w:color w:val="auto"/>
        </w:rPr>
        <w:t>（首轮）、最终报价表、</w:t>
      </w:r>
      <w:r>
        <w:rPr>
          <w:rFonts w:hint="eastAsia" w:ascii="宋体" w:hAnsi="宋体" w:cs="宋体"/>
          <w:color w:val="auto"/>
          <w:lang w:eastAsia="zh-CN"/>
        </w:rPr>
        <w:t>技术参数响应表</w:t>
      </w:r>
      <w:r>
        <w:rPr>
          <w:rFonts w:hint="eastAsia" w:ascii="宋体" w:hAnsi="宋体" w:cs="宋体"/>
          <w:color w:val="auto"/>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3</w:t>
      </w:r>
      <w:r>
        <w:rPr>
          <w:rFonts w:hint="eastAsia" w:ascii="宋体" w:hAnsi="宋体" w:cs="宋体"/>
          <w:color w:val="auto"/>
          <w:szCs w:val="21"/>
        </w:rPr>
        <w:t>、谈判响应报价高于谈判最高限价的；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4</w:t>
      </w:r>
      <w:r>
        <w:rPr>
          <w:rFonts w:hint="eastAsia" w:ascii="宋体" w:hAnsi="宋体" w:cs="宋体"/>
          <w:color w:val="auto"/>
          <w:szCs w:val="21"/>
        </w:rPr>
        <w:t>、法律、法规及竞争性谈判文件约定的其它情形。</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22.3、谈判响应人存在下列情形之一，经谈判小组评审后，认定为谈判响应无效：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500" w:lineRule="exact"/>
        <w:ind w:firstLine="420"/>
        <w:jc w:val="left"/>
        <w:rPr>
          <w:rFonts w:ascii="宋体" w:hAnsi="宋体" w:cs="宋体"/>
          <w:color w:val="auto"/>
          <w:szCs w:val="21"/>
        </w:rPr>
      </w:pPr>
      <w:r>
        <w:rPr>
          <w:rFonts w:ascii="宋体" w:hAnsi="宋体"/>
          <w:color w:val="auto"/>
          <w:szCs w:val="21"/>
        </w:rPr>
        <w:t>22.4 各级人民政府财政部门依法对参加政府采购活动的供应商作出的禁止参加政府采购活动等行政处罚决定在全国范围内生效。</w:t>
      </w:r>
      <w:r>
        <w:rPr>
          <w:rFonts w:hint="eastAsia" w:ascii="宋体" w:hAnsi="宋体"/>
          <w:color w:val="auto"/>
          <w:szCs w:val="21"/>
        </w:rPr>
        <w:t>谈判响应人受到</w:t>
      </w:r>
      <w:r>
        <w:rPr>
          <w:rFonts w:ascii="宋体" w:hAnsi="宋体"/>
          <w:color w:val="auto"/>
          <w:szCs w:val="21"/>
        </w:rPr>
        <w:t>财政部门依法</w:t>
      </w:r>
      <w:r>
        <w:rPr>
          <w:rFonts w:hint="eastAsia" w:ascii="宋体" w:hAnsi="宋体"/>
          <w:color w:val="auto"/>
          <w:szCs w:val="21"/>
        </w:rPr>
        <w:t>作出的</w:t>
      </w:r>
      <w:r>
        <w:rPr>
          <w:rFonts w:ascii="宋体" w:hAnsi="宋体"/>
          <w:color w:val="auto"/>
          <w:szCs w:val="21"/>
        </w:rPr>
        <w:t>禁止参加政府采购活动</w:t>
      </w:r>
      <w:r>
        <w:rPr>
          <w:rFonts w:hint="eastAsia" w:ascii="宋体" w:hAnsi="宋体"/>
          <w:color w:val="auto"/>
          <w:szCs w:val="21"/>
        </w:rPr>
        <w:t>且在有效期内的</w:t>
      </w:r>
      <w:r>
        <w:rPr>
          <w:rFonts w:ascii="宋体" w:hAnsi="宋体"/>
          <w:color w:val="auto"/>
          <w:szCs w:val="21"/>
        </w:rPr>
        <w:t>行政处罚</w:t>
      </w:r>
      <w:r>
        <w:rPr>
          <w:rFonts w:hint="eastAsia" w:ascii="宋体" w:hAnsi="宋体"/>
          <w:color w:val="auto"/>
          <w:szCs w:val="21"/>
        </w:rPr>
        <w:t>，其谈判响应无效。</w:t>
      </w:r>
    </w:p>
    <w:p>
      <w:pPr>
        <w:pStyle w:val="5"/>
        <w:spacing w:line="360" w:lineRule="auto"/>
        <w:ind w:firstLine="472" w:firstLineChars="196"/>
        <w:rPr>
          <w:rFonts w:hAnsi="宋体" w:cs="宋体"/>
          <w:color w:val="auto"/>
        </w:rPr>
      </w:pPr>
      <w:bookmarkStart w:id="61" w:name="_Toc28310"/>
      <w:bookmarkStart w:id="62" w:name="_Toc54939196"/>
      <w:r>
        <w:rPr>
          <w:rFonts w:hint="eastAsia" w:hAnsi="宋体" w:cs="宋体"/>
          <w:color w:val="auto"/>
        </w:rPr>
        <w:t>六、</w:t>
      </w:r>
      <w:bookmarkEnd w:id="61"/>
      <w:r>
        <w:rPr>
          <w:rFonts w:hint="eastAsia" w:hAnsi="宋体" w:cs="宋体"/>
          <w:color w:val="auto"/>
        </w:rPr>
        <w:t>谈判</w:t>
      </w:r>
      <w:bookmarkEnd w:id="62"/>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23、谈判小组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24、评审方法：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rPr>
        <w:t>25、评审程序</w:t>
      </w:r>
      <w:r>
        <w:rPr>
          <w:rFonts w:hint="eastAsia" w:ascii="宋体" w:hAnsi="宋体" w:cs="宋体"/>
          <w:color w:val="auto"/>
          <w:szCs w:val="21"/>
        </w:rPr>
        <w:t>：评审按照谈判响应文件符合性审查、报价评审、澄清有关问题、失信核查和确定成交候选人排序进行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000000"/>
          <w:szCs w:val="21"/>
          <w:highlight w:val="none"/>
        </w:rPr>
      </w:pPr>
      <w:r>
        <w:rPr>
          <w:rFonts w:hint="eastAsia" w:ascii="宋体" w:hAnsi="宋体" w:cs="宋体"/>
          <w:color w:val="auto"/>
          <w:szCs w:val="21"/>
          <w:highlight w:val="none"/>
        </w:rPr>
        <w:t xml:space="preserve">   </w:t>
      </w:r>
      <w:r>
        <w:rPr>
          <w:rFonts w:hint="eastAsia" w:ascii="宋体" w:hAnsi="宋体" w:cs="宋体"/>
          <w:color w:val="000000"/>
          <w:szCs w:val="21"/>
          <w:highlight w:val="none"/>
        </w:rPr>
        <w:t>（1）谈判响应人资格是否符合竞争性谈判文件要求；</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（3）竞争性谈判文件要求提交的各种资格证明文件是否真实、完整、合法、有效；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）所提供的货物是否有缺少；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）谈判响应技术参数是否完全响应或优于竞争性谈判文件要求；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）供货及技术方案是否完整、可行且完全响应或优于竞争性谈判文件要求；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）谈判响应文件对法律、法规和竞争性谈判文件其他明确要求的符合性；</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）联合体谈判响应是否提交联合体谈判响应协议书，且联合体协议书中是否明确牵头单位；</w:t>
      </w:r>
    </w:p>
    <w:p>
      <w:pPr>
        <w:widowControl/>
        <w:spacing w:line="360" w:lineRule="auto"/>
        <w:ind w:firstLine="405"/>
        <w:jc w:val="left"/>
        <w:rPr>
          <w:rFonts w:hint="eastAsia" w:ascii="宋体" w:hAnsi="宋体" w:cs="宋体"/>
          <w:color w:val="auto"/>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）谈判响应文件是否附有采购人不能接受的条件</w:t>
      </w:r>
      <w:r>
        <w:rPr>
          <w:rFonts w:hint="eastAsia" w:ascii="宋体" w:hAnsi="宋体" w:cs="宋体"/>
          <w:color w:val="auto"/>
          <w:szCs w:val="21"/>
        </w:rPr>
        <w:t>；</w:t>
      </w:r>
    </w:p>
    <w:p>
      <w:pPr>
        <w:widowControl/>
        <w:spacing w:line="360" w:lineRule="auto"/>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000000"/>
          <w:szCs w:val="21"/>
          <w:highlight w:val="none"/>
        </w:rPr>
        <w:t>谈判响应文件是否存在竞争性谈判文件中约定的无效谈判响应文件的其他情形；</w:t>
      </w:r>
    </w:p>
    <w:p>
      <w:pPr>
        <w:widowControl/>
        <w:spacing w:line="500" w:lineRule="exact"/>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）谈判响应文件是否符合竞争性谈判文件的要求</w:t>
      </w:r>
      <w:r>
        <w:rPr>
          <w:rFonts w:hint="eastAsia" w:ascii="宋体" w:hAnsi="宋体" w:cs="宋体"/>
          <w:color w:val="auto"/>
          <w:szCs w:val="21"/>
          <w:lang w:eastAsia="zh-CN"/>
        </w:rPr>
        <w:t>；</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rPr>
        <w:t>25.2、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rPr>
        <w:t>25.4、报价评审：谈判响应报价不得超过谈判最高限价，否则报价评审不通过。</w:t>
      </w:r>
    </w:p>
    <w:p>
      <w:pPr>
        <w:widowControl/>
        <w:spacing w:line="360" w:lineRule="auto"/>
        <w:ind w:firstLine="430"/>
        <w:jc w:val="left"/>
        <w:rPr>
          <w:rFonts w:ascii="宋体" w:hAnsi="宋体" w:cs="宋体"/>
          <w:color w:val="auto"/>
          <w:szCs w:val="21"/>
        </w:rPr>
      </w:pPr>
      <w:r>
        <w:rPr>
          <w:rFonts w:hint="eastAsia" w:ascii="宋体" w:hAnsi="宋体" w:cs="宋体"/>
          <w:color w:val="auto"/>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25.7.1</w:t>
      </w:r>
      <w:r>
        <w:rPr>
          <w:rFonts w:hint="eastAsia" w:ascii="宋体" w:hAnsi="宋体" w:cs="宋体"/>
          <w:b/>
          <w:color w:val="auto"/>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25.7.2</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8</w:t>
      </w:r>
      <w:r>
        <w:rPr>
          <w:rFonts w:hint="eastAsia" w:ascii="宋体" w:hAnsi="宋体" w:cs="宋体"/>
          <w:color w:val="auto"/>
          <w:szCs w:val="21"/>
        </w:rPr>
        <w:t>、失信核查</w:t>
      </w:r>
    </w:p>
    <w:p>
      <w:pPr>
        <w:widowControl/>
        <w:spacing w:line="500" w:lineRule="exact"/>
        <w:ind w:firstLine="420"/>
        <w:jc w:val="left"/>
        <w:rPr>
          <w:rStyle w:val="28"/>
          <w:color w:val="auto"/>
          <w:szCs w:val="21"/>
        </w:rPr>
      </w:pPr>
      <w:r>
        <w:rPr>
          <w:rFonts w:hint="eastAsia" w:ascii="宋体" w:hAnsi="宋体"/>
          <w:color w:val="auto"/>
          <w:szCs w:val="21"/>
        </w:rPr>
        <w:t>谈判小组查询排序前三名的谈判响应人信用记录，谈判响应人存在不良信用记录的，谈判小组</w:t>
      </w:r>
      <w:r>
        <w:rPr>
          <w:color w:val="auto"/>
        </w:rPr>
        <w:fldChar w:fldCharType="begin"/>
      </w:r>
      <w:r>
        <w:rPr>
          <w:color w:val="auto"/>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rP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color w:val="auto"/>
          <w:szCs w:val="21"/>
        </w:rPr>
      </w:pPr>
      <w:r>
        <w:rPr>
          <w:rFonts w:ascii="宋体" w:hAnsi="宋体"/>
          <w:color w:val="auto"/>
          <w:szCs w:val="21"/>
        </w:rPr>
        <w:t>25.</w:t>
      </w: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lang w:val="en-US" w:eastAsia="zh-CN"/>
        </w:rPr>
        <w:t>8</w:t>
      </w:r>
      <w:r>
        <w:rPr>
          <w:rFonts w:ascii="宋体" w:hAnsi="宋体"/>
          <w:color w:val="auto"/>
          <w:szCs w:val="21"/>
        </w:rPr>
        <w:t>.2</w:t>
      </w:r>
      <w:r>
        <w:rPr>
          <w:rFonts w:hint="eastAsia" w:ascii="宋体" w:hAnsi="宋体"/>
          <w:color w:val="auto"/>
          <w:szCs w:val="21"/>
        </w:rPr>
        <w:t>信用信息查询渠道：中国政府采购网（www.ccgp.gov.cn）、“信用中国”网站（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ascii="宋体" w:hAnsi="宋体"/>
          <w:color w:val="auto"/>
          <w:szCs w:val="21"/>
        </w:rPr>
        <w:t>）。</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26、</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26.1在竞争性谈判采购中，出现下列情况之一的，应予废标，采购单位重新组织采购：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27、谈判过程的保密性</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417655921"/>
      <w:bookmarkStart w:id="64" w:name="_Toc418517858"/>
      <w:bookmarkStart w:id="65" w:name="_Toc15032"/>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27.4、服务费</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27.4.1、成交人应在收到缴费通知后三日内按竞争性谈判文件要求缴纳服务费</w:t>
      </w:r>
      <w:r>
        <w:rPr>
          <w:rFonts w:hint="eastAsia" w:ascii="宋体" w:hAnsi="宋体"/>
          <w:color w:val="auto"/>
          <w:szCs w:val="21"/>
        </w:rPr>
        <w:t>，完成缴费后请</w:t>
      </w:r>
      <w:r>
        <w:rPr>
          <w:rFonts w:ascii="宋体" w:hAnsi="宋体"/>
          <w:color w:val="auto"/>
          <w:szCs w:val="21"/>
        </w:rPr>
        <w:t>在</w:t>
      </w:r>
      <w:r>
        <w:rPr>
          <w:rFonts w:hint="eastAsia" w:ascii="宋体" w:hAnsi="宋体"/>
          <w:color w:val="auto"/>
          <w:szCs w:val="21"/>
        </w:rPr>
        <w:t>7</w:t>
      </w:r>
      <w:r>
        <w:rPr>
          <w:rFonts w:ascii="宋体" w:hAnsi="宋体"/>
          <w:color w:val="auto"/>
          <w:szCs w:val="21"/>
        </w:rPr>
        <w:t>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27.4.2、服务费按差额定率累进法计算。以成交价计算基数，按下表约定的</w:t>
      </w:r>
      <w:r>
        <w:rPr>
          <w:rFonts w:hint="eastAsia" w:ascii="宋体" w:hAnsi="宋体" w:cs="宋体"/>
          <w:color w:val="auto"/>
          <w:szCs w:val="21"/>
          <w:lang w:val="en-US" w:eastAsia="zh-CN"/>
        </w:rPr>
        <w:t>货物</w:t>
      </w:r>
      <w:r>
        <w:rPr>
          <w:rFonts w:hint="eastAsia" w:ascii="宋体" w:hAnsi="宋体" w:cs="宋体"/>
          <w:color w:val="auto"/>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eastAsia" w:ascii="宋体" w:hAnsi="宋体" w:cs="宋体"/>
          <w:b/>
          <w:color w:val="auto"/>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27.5、成交通知书</w:t>
      </w:r>
      <w:bookmarkEnd w:id="63"/>
      <w:bookmarkEnd w:id="64"/>
      <w:bookmarkEnd w:id="65"/>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rPr>
      </w:pPr>
      <w:bookmarkStart w:id="66" w:name="_Toc417655920"/>
      <w:bookmarkStart w:id="67" w:name="_Toc2342"/>
      <w:bookmarkStart w:id="68" w:name="_Toc418517857"/>
      <w:r>
        <w:rPr>
          <w:rFonts w:hint="eastAsia" w:ascii="宋体" w:hAnsi="宋体" w:cs="宋体"/>
          <w:b/>
          <w:bCs/>
          <w:color w:val="auto"/>
          <w:szCs w:val="20"/>
        </w:rPr>
        <w:t xml:space="preserve">   </w:t>
      </w:r>
      <w:r>
        <w:rPr>
          <w:rFonts w:hint="eastAsia" w:ascii="宋体" w:hAnsi="宋体" w:cs="宋体"/>
          <w:color w:val="auto"/>
          <w:szCs w:val="21"/>
        </w:rPr>
        <w:t xml:space="preserve"> 27.</w:t>
      </w:r>
      <w:bookmarkEnd w:id="66"/>
      <w:bookmarkEnd w:id="67"/>
      <w:bookmarkEnd w:id="68"/>
      <w:r>
        <w:rPr>
          <w:rFonts w:hint="eastAsia" w:ascii="宋体" w:hAnsi="宋体" w:cs="宋体"/>
          <w:color w:val="auto"/>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rPr>
      </w:pPr>
      <w:bookmarkStart w:id="69" w:name="_Toc23509"/>
      <w:r>
        <w:rPr>
          <w:rFonts w:hint="eastAsia" w:ascii="宋体" w:hAnsi="宋体" w:cs="宋体"/>
          <w:b/>
          <w:bCs/>
          <w:color w:val="auto"/>
          <w:szCs w:val="21"/>
        </w:rPr>
        <w:t xml:space="preserve">    </w:t>
      </w:r>
      <w:bookmarkStart w:id="70" w:name="_Toc54939197"/>
      <w:r>
        <w:rPr>
          <w:rFonts w:hint="eastAsia" w:ascii="宋体" w:hAnsi="宋体" w:cs="宋体"/>
          <w:b/>
          <w:bCs/>
          <w:color w:val="auto"/>
          <w:szCs w:val="21"/>
        </w:rPr>
        <w:t>七、合同授予</w:t>
      </w:r>
      <w:bookmarkEnd w:id="69"/>
      <w:bookmarkEnd w:id="70"/>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w:t>
      </w:r>
      <w:bookmarkStart w:id="71" w:name="_Toc418517860"/>
      <w:bookmarkStart w:id="72" w:name="_Toc21358"/>
      <w:bookmarkStart w:id="73" w:name="_Toc417655923"/>
      <w:r>
        <w:rPr>
          <w:rFonts w:hint="eastAsia" w:ascii="宋体" w:hAnsi="宋体" w:cs="宋体"/>
          <w:color w:val="auto"/>
          <w:szCs w:val="21"/>
        </w:rPr>
        <w:t>签订合同</w:t>
      </w:r>
      <w:bookmarkEnd w:id="71"/>
      <w:bookmarkEnd w:id="72"/>
      <w:bookmarkEnd w:id="73"/>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28.2、成交人在收到成交通知书起</w:t>
      </w:r>
      <w:r>
        <w:rPr>
          <w:rFonts w:hint="eastAsia" w:ascii="宋体" w:hAnsi="宋体" w:cs="宋体"/>
          <w:color w:val="auto"/>
          <w:szCs w:val="21"/>
          <w:lang w:val="en-US" w:eastAsia="zh-CN"/>
        </w:rPr>
        <w:t>10工作</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rPr>
      </w:pPr>
      <w:r>
        <w:rPr>
          <w:rFonts w:hint="eastAsia" w:ascii="宋体" w:hAnsi="宋体" w:cs="宋体"/>
          <w:b/>
          <w:bCs/>
          <w:color w:val="auto"/>
          <w:szCs w:val="21"/>
        </w:rPr>
        <w:t xml:space="preserve">    29、履约保证金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29.3、履约保证金按合同条款</w:t>
      </w:r>
      <w:r>
        <w:rPr>
          <w:rFonts w:hint="eastAsia" w:ascii="宋体" w:hAnsi="宋体" w:cs="宋体"/>
          <w:color w:val="auto"/>
          <w:kern w:val="0"/>
          <w:szCs w:val="21"/>
        </w:rPr>
        <w:t>约定</w:t>
      </w:r>
      <w:r>
        <w:rPr>
          <w:rFonts w:hint="eastAsia" w:ascii="宋体" w:hAnsi="宋体" w:cs="宋体"/>
          <w:color w:val="auto"/>
          <w:szCs w:val="21"/>
        </w:rPr>
        <w:t>退还。</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rPr>
        <w:t>30、未尽事宜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2"/>
        <w:rPr>
          <w:rFonts w:hint="default" w:ascii="宋体" w:hAnsi="宋体" w:cs="宋体"/>
          <w:color w:val="0000FF"/>
          <w:szCs w:val="21"/>
          <w:highlight w:val="none"/>
          <w:lang w:val="en-US" w:eastAsia="zh-CN"/>
        </w:rPr>
      </w:pPr>
      <w:bookmarkStart w:id="74" w:name="_Toc54939198"/>
      <w:bookmarkStart w:id="75" w:name="_Toc18076"/>
      <w:r>
        <w:rPr>
          <w:rFonts w:hint="eastAsia" w:ascii="宋体" w:hAnsi="宋体" w:cs="宋体"/>
          <w:color w:val="auto"/>
        </w:rPr>
        <w:t xml:space="preserve">第三章 </w:t>
      </w:r>
      <w:bookmarkEnd w:id="74"/>
      <w:bookmarkEnd w:id="75"/>
      <w:r>
        <w:rPr>
          <w:rFonts w:hint="eastAsia" w:ascii="宋体" w:hAnsi="宋体" w:cs="宋体"/>
          <w:color w:val="000000"/>
          <w:highlight w:val="none"/>
        </w:rPr>
        <w:t>货物需求及技术要求</w:t>
      </w:r>
    </w:p>
    <w:p>
      <w:pPr>
        <w:pStyle w:val="5"/>
        <w:ind w:firstLine="472" w:firstLineChars="196"/>
        <w:rPr>
          <w:rFonts w:hAnsi="宋体" w:cs="宋体"/>
          <w:bCs/>
          <w:color w:val="000000"/>
          <w:szCs w:val="24"/>
          <w:highlight w:val="none"/>
        </w:rPr>
      </w:pPr>
      <w:bookmarkStart w:id="76" w:name="_Toc54938481"/>
      <w:r>
        <w:rPr>
          <w:rFonts w:hint="eastAsia" w:hAnsi="宋体" w:cs="宋体"/>
          <w:color w:val="000000"/>
          <w:highlight w:val="none"/>
        </w:rPr>
        <w:t>一、</w:t>
      </w:r>
      <w:r>
        <w:rPr>
          <w:rFonts w:hint="eastAsia" w:hAnsi="宋体" w:cs="宋体"/>
          <w:bCs/>
          <w:color w:val="000000"/>
          <w:szCs w:val="24"/>
          <w:highlight w:val="none"/>
        </w:rPr>
        <w:t>货物需求一览表</w:t>
      </w:r>
      <w:bookmarkEnd w:id="76"/>
    </w:p>
    <w:tbl>
      <w:tblPr>
        <w:tblStyle w:val="22"/>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18"/>
        <w:gridCol w:w="6492"/>
        <w:gridCol w:w="780"/>
        <w:gridCol w:w="795"/>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bookmarkStart w:id="77" w:name="OLE_LINK1"/>
            <w:bookmarkStart w:id="78" w:name="_Toc54938482"/>
            <w:bookmarkStart w:id="79" w:name="_Toc4579"/>
            <w:r>
              <w:rPr>
                <w:rFonts w:hint="eastAsia" w:ascii="宋体" w:hAnsi="宋体" w:cs="宋体"/>
                <w:color w:val="auto"/>
                <w:kern w:val="0"/>
                <w:sz w:val="24"/>
                <w:highlight w:val="none"/>
              </w:rPr>
              <w:t>序号</w:t>
            </w:r>
          </w:p>
        </w:tc>
        <w:tc>
          <w:tcPr>
            <w:tcW w:w="9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货物名称</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竞争性谈判技术参数</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单位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数量</w:t>
            </w:r>
          </w:p>
        </w:tc>
        <w:tc>
          <w:tcPr>
            <w:tcW w:w="5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1"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w:t>
            </w:r>
          </w:p>
        </w:tc>
        <w:tc>
          <w:tcPr>
            <w:tcW w:w="918" w:type="dxa"/>
            <w:tcBorders>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cs="宋体"/>
                <w:color w:val="auto"/>
                <w:szCs w:val="21"/>
                <w:lang w:val="en-US" w:eastAsia="zh-CN"/>
              </w:rPr>
            </w:pPr>
            <w:r>
              <w:rPr>
                <w:rFonts w:hint="eastAsia" w:ascii="宋体" w:hAnsi="宋体" w:eastAsia="宋体"/>
                <w:color w:val="323616"/>
                <w:sz w:val="21"/>
                <w:szCs w:val="21"/>
              </w:rPr>
              <w:t>移动应用开发技能实训系统</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b/>
                <w:color w:val="auto"/>
                <w:sz w:val="21"/>
                <w:szCs w:val="21"/>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b/>
                <w:color w:val="auto"/>
                <w:sz w:val="21"/>
                <w:szCs w:val="21"/>
              </w:rPr>
            </w:pPr>
            <w:r>
              <w:rPr>
                <w:rFonts w:hint="eastAsia" w:ascii="宋体" w:hAnsi="宋体"/>
                <w:b/>
                <w:color w:val="auto"/>
                <w:sz w:val="21"/>
                <w:szCs w:val="21"/>
              </w:rPr>
              <w:t>一、UML建模与设计模式模块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的内容主要包括理论部分和实训部分，通过理论讲解不仅有助于学生理解面向对象的软件开发技术，同时为后续课程的学习打下坚实的基础。更重要的是为学生构筑软件建模这一核心职业技能，为毕业后的就业尤其是应用软件开发类职业岗位的就业增加机会。实训部分基于智慧城市的智慧党建和便民服务主题进行产品需求规格说明书设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课程视频主要包括：</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（1）UML认知</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（2）UML制作工具Visio</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（3）需求确定</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（4）用例模型</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（5）类图和对象图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（6）顺序图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（7）活动图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以智慧城市为背景，通过限选主题和固定主题结合的形式，对需求进行梳理、分析，并以提供的需求规格说明书为模板，最终完成一份完整的需求规格说明书的编制。</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实训分为两部分任务：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第一部分，根据智慧党建限选主题方向和对应描述，进行需求的自定义梳理与规划，依据给定的需求规格说明书（模板），进行需求规格的逐一描述，同时对自定义需求进行初步分析和设计，编制对应业务流程图、原型草图、用例图、类图、时序图和对应模块概要设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第二部分，根据便民服务主题的需求说明，进行需求分析设计，结合功能需求编制对应业务流程图、类图、时序图和对应模块概要设计说明。</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1.实训视频，限选模块4个，固定模块4个。</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2.案例资源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（1）需求规格说明书.doc。</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（2）限定主题-智慧党建主题的主页面、党建动态、党员学习、组织活动4个任务模块设计文件，其中包括含UI草图、流程图、用例图、类图和时序图。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（3）固定主题-智慧城市的引导页、主页面、个人中心和生活缴费4个任务模块设计文件，其中包括含UI草图、流程图、用例图、类图和时序图。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b/>
                <w:color w:val="auto"/>
                <w:sz w:val="21"/>
                <w:szCs w:val="21"/>
              </w:rPr>
            </w:pPr>
            <w:r>
              <w:rPr>
                <w:rFonts w:hint="eastAsia" w:ascii="宋体" w:hAnsi="宋体"/>
                <w:b/>
                <w:color w:val="auto"/>
                <w:sz w:val="21"/>
                <w:szCs w:val="21"/>
              </w:rPr>
              <w:t>二、界面设计模块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课程的内容主要包括理论部分和实训部分，理论讲解Adobe XD产品原型设计的基本内容，主要包括认识XD、XD工具讲解、XD的基本操作、界面设计规范、弹窗与滑动击键、资源库的应用、XD交互动画、响应式布局、XD插件应用讲解、切图和导出等。实训部分基于智慧城市的智慧党建和便民服务主题进行产品原型设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课程视频主要包括：</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（1）认识XD</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（2）XD工具讲解</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（3）XD的基本操作</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（4）界面设计规范</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（5）弹窗与滑动击键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（6）XD的重复网格</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（7）资源库的应用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（8）XD交互动画</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（9）响应式布局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（10）XD插件应用讲解</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（11）切图和导出</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以智慧城市为背景，通过限选主题和固定主题结合的形式，对需求进行梳理、分析，使用Adobe XD软件，基于功能要求，进行该功能模块的页面原型设计，制作页面原型参阅谷歌的Material Design设计规范。</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主要分为两部分任务：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第一部分，限选主题是基于智慧城市系统架构，以智慧党建为背景，规划整理智慧党建需求，在功能架构体系中至少规划设计6个功能，并自主绘制智慧党建初步设计原型，每个功能至少一个画板。</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第二部分，固定主题是基于智慧城市系统中的便民服务功能需求描述，进行设计便民服务的初步设计原型，每个功能至少一个画板。</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 xml:space="preserve">1.实训视频，12个功能模块视频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2.案例资源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（1）初步设计_限选主题.xd，包括6个任务：党建展示、党建动态、党员学习、组织活动、建言献策、随手拍原型设计模块。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（2）初步设计_固定主题.xd，包括6个任务引导页、主页面、个人中心、预约检车、找工作、智慧巴士原型设计模块。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b/>
                <w:color w:val="auto"/>
                <w:sz w:val="21"/>
                <w:szCs w:val="21"/>
              </w:rPr>
            </w:pPr>
            <w:r>
              <w:rPr>
                <w:rFonts w:hint="eastAsia" w:ascii="宋体" w:hAnsi="宋体"/>
                <w:b/>
                <w:color w:val="auto"/>
                <w:sz w:val="21"/>
                <w:szCs w:val="21"/>
              </w:rPr>
              <w:t>三、Android程序设计模块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课程的内容主要包括理论部分和实训部分，理论讲解移动开发的基本内容，主要包括学生理解</w:t>
            </w:r>
            <w:r>
              <w:rPr>
                <w:rFonts w:ascii="宋体" w:hAnsi="宋体" w:eastAsia="宋体"/>
                <w:color w:val="auto"/>
                <w:sz w:val="21"/>
                <w:szCs w:val="21"/>
              </w:rPr>
              <w:t>Android sdk</w:t>
            </w:r>
            <w:r>
              <w:rPr>
                <w:rFonts w:hint="eastAsia" w:ascii="宋体" w:hAnsi="宋体" w:eastAsia="宋体"/>
                <w:color w:val="auto"/>
                <w:sz w:val="21"/>
                <w:szCs w:val="21"/>
              </w:rPr>
              <w:t>的特点、</w:t>
            </w:r>
            <w:r>
              <w:rPr>
                <w:rFonts w:ascii="宋体" w:hAnsi="宋体" w:eastAsia="宋体"/>
                <w:color w:val="auto"/>
                <w:sz w:val="21"/>
                <w:szCs w:val="21"/>
              </w:rPr>
              <w:t>Android</w:t>
            </w:r>
            <w:r>
              <w:rPr>
                <w:rFonts w:hint="eastAsia" w:ascii="宋体" w:hAnsi="宋体" w:eastAsia="宋体"/>
                <w:color w:val="auto"/>
                <w:sz w:val="21"/>
                <w:szCs w:val="21"/>
              </w:rPr>
              <w:t>应用开发环境的搭建、</w:t>
            </w:r>
            <w:r>
              <w:rPr>
                <w:rFonts w:ascii="宋体" w:hAnsi="宋体" w:eastAsia="宋体"/>
                <w:color w:val="auto"/>
                <w:sz w:val="21"/>
                <w:szCs w:val="21"/>
              </w:rPr>
              <w:t>Android</w:t>
            </w:r>
            <w:r>
              <w:rPr>
                <w:rFonts w:hint="eastAsia" w:ascii="宋体" w:hAnsi="宋体" w:eastAsia="宋体"/>
                <w:color w:val="auto"/>
                <w:sz w:val="21"/>
                <w:szCs w:val="21"/>
              </w:rPr>
              <w:t>高级</w:t>
            </w:r>
            <w:r>
              <w:rPr>
                <w:rFonts w:ascii="宋体" w:hAnsi="宋体" w:eastAsia="宋体"/>
                <w:color w:val="auto"/>
                <w:sz w:val="21"/>
                <w:szCs w:val="21"/>
              </w:rPr>
              <w:t>UI</w:t>
            </w:r>
            <w:r>
              <w:rPr>
                <w:rFonts w:hint="eastAsia" w:ascii="宋体" w:hAnsi="宋体" w:eastAsia="宋体"/>
                <w:color w:val="auto"/>
                <w:sz w:val="21"/>
                <w:szCs w:val="21"/>
              </w:rPr>
              <w:t>开发、</w:t>
            </w:r>
            <w:r>
              <w:rPr>
                <w:rFonts w:ascii="宋体" w:hAnsi="宋体" w:eastAsia="宋体"/>
                <w:color w:val="auto"/>
                <w:sz w:val="21"/>
                <w:szCs w:val="21"/>
              </w:rPr>
              <w:t>Android</w:t>
            </w:r>
            <w:r>
              <w:rPr>
                <w:rFonts w:hint="eastAsia" w:ascii="宋体" w:hAnsi="宋体" w:eastAsia="宋体"/>
                <w:color w:val="auto"/>
                <w:sz w:val="21"/>
                <w:szCs w:val="21"/>
              </w:rPr>
              <w:t>网络通讯、</w:t>
            </w:r>
            <w:r>
              <w:rPr>
                <w:rFonts w:ascii="宋体" w:hAnsi="宋体" w:eastAsia="宋体"/>
                <w:color w:val="auto"/>
                <w:sz w:val="21"/>
                <w:szCs w:val="21"/>
              </w:rPr>
              <w:t>Android</w:t>
            </w:r>
            <w:r>
              <w:rPr>
                <w:rFonts w:hint="eastAsia" w:ascii="宋体" w:hAnsi="宋体" w:eastAsia="宋体"/>
                <w:color w:val="auto"/>
                <w:sz w:val="21"/>
                <w:szCs w:val="21"/>
              </w:rPr>
              <w:t>多媒体处理的主要内容等。实训部分基于智慧城市服务端设计智慧城市</w:t>
            </w:r>
            <w:r>
              <w:rPr>
                <w:rFonts w:ascii="宋体" w:hAnsi="宋体" w:eastAsia="宋体"/>
                <w:color w:val="auto"/>
                <w:sz w:val="21"/>
                <w:szCs w:val="21"/>
              </w:rPr>
              <w:t>APP</w:t>
            </w:r>
            <w:r>
              <w:rPr>
                <w:rFonts w:hint="eastAsia" w:ascii="宋体" w:hAnsi="宋体" w:eastAsia="宋体"/>
                <w:color w:val="auto"/>
                <w:sz w:val="21"/>
                <w:szCs w:val="21"/>
              </w:rPr>
              <w:t>，并实现产品的发布。</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课程视频主要包括：</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（1）Android简介和开发环境安装</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（2）Android基础控件</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（3）Activity生命周期</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（4）BroadcastReceiver广播</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（5）ContentProvider内容提供者</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 xml:space="preserve">（6）Fragment（动态）与 ViewPager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（7）Handler消息传送机制</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（8）Intent意图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（9）JSON和GSON</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（10）ListView高级控件</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（11）MediaPlayer</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（12）Service服务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（13）sharePreference存储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（14）网络技术-Volley网络通信框架</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（15）网络技术-okhttp</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（16）网络技术-retrofit</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（17）发布应用-生成APK</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以智慧城市为背景，设计智慧城市APP，利用移动开发工具（Android Studio）创建SmartCity项目，实现项目任务设计。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1.智慧城市服务端（免费提供）</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eastAsia="宋体"/>
                <w:color w:val="auto"/>
                <w:sz w:val="21"/>
                <w:szCs w:val="21"/>
              </w:rPr>
              <w:t>根据实训任务需求，提供智慧城市服务端便于开发智慧城市APP，服务端涉及API接口包括</w:t>
            </w:r>
            <w:r>
              <w:rPr>
                <w:rFonts w:hint="eastAsia" w:ascii="宋体" w:hAnsi="宋体"/>
                <w:color w:val="auto"/>
                <w:sz w:val="21"/>
                <w:szCs w:val="21"/>
              </w:rPr>
              <w:t>通用接口、停哪儿、找房子、智慧交管、城市地铁等不低于200个API接口，</w:t>
            </w:r>
            <w:r>
              <w:rPr>
                <w:rFonts w:hint="eastAsia" w:ascii="宋体" w:hAnsi="宋体" w:eastAsia="宋体"/>
                <w:color w:val="auto"/>
                <w:sz w:val="21"/>
                <w:szCs w:val="21"/>
              </w:rPr>
              <w:t>并且带有鉴权功能。提供智慧城市平台Open API_V2.0.pdf。</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2.智慧城市管理前端。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1)系统管理：用户管理、角色管理、菜单管理、部门管理、岗位管理、字典管理、参数设置、通知公告和日志管理等；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2)系统监控：在线用户、定时任务、数据监控、服务监控和缓存监控等；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3)通用模块：服务系统、金额变动、广告信息、模拟数据和新闻管理等；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color w:val="auto"/>
                <w:sz w:val="21"/>
                <w:szCs w:val="21"/>
              </w:rPr>
              <w:t>4)地铁城市：广告信息、地铁城市、地铁路线、新闻管理、地铁公告、失物招领、乘车码、乘车记录、地铁声明和意见反馈等；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5)看电影：影院管理、影评管理、影片管理、场次管理、订单管理、预告片管理、广告管理、意见反馈和新闻管理等；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6)停哪儿：广告信息、信息纠错、移车申请、车辆信息、停车场管理、停车记录、油耗记录、充值记录、积分等级、积分规则、积分商品、积分订单、积分记录、新闻管理、意见反馈；</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7)智慧交管：意见反馈、广告管理、车辆管理、驾驶证管理、违章查询、处罚通知书、撤销申请、服务网点和常见问题；</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8)生活缴费：缴费分类、手机信息、账户信息、缴费账单、缴费记录、广告信息、优惠规则、话费充值、意见反馈和新闻管理；</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9)外卖订餐：店家信息、送餐地址、收藏管理、评论管理、主题管理、订单管理、广告信息和意见反馈等；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10)智慧巴士：路线站点和巴士订单等；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11)门诊预约：医院信息、科室分类、就诊卡片和预约信息等；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12)</w:t>
            </w:r>
            <w:r>
              <w:rPr>
                <w:rFonts w:hint="eastAsia" w:ascii="宋体" w:hAnsi="宋体"/>
                <w:color w:val="auto"/>
                <w:sz w:val="21"/>
                <w:szCs w:val="21"/>
              </w:rPr>
              <w:tab/>
            </w:r>
            <w:r>
              <w:rPr>
                <w:rFonts w:hint="eastAsia" w:ascii="宋体" w:hAnsi="宋体"/>
                <w:color w:val="auto"/>
                <w:sz w:val="21"/>
                <w:szCs w:val="21"/>
              </w:rPr>
              <w:t>找房子：楼盘信息和房源信息等；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13)</w:t>
            </w:r>
            <w:r>
              <w:rPr>
                <w:rFonts w:hint="eastAsia" w:ascii="宋体" w:hAnsi="宋体"/>
                <w:color w:val="auto"/>
                <w:sz w:val="21"/>
                <w:szCs w:val="21"/>
              </w:rPr>
              <w:tab/>
            </w:r>
            <w:r>
              <w:rPr>
                <w:rFonts w:hint="eastAsia" w:ascii="宋体" w:hAnsi="宋体"/>
                <w:color w:val="auto"/>
                <w:sz w:val="21"/>
                <w:szCs w:val="21"/>
              </w:rPr>
              <w:t>找工作：公司管理、职位管理、招聘信息、简历管理和投递历史等；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color w:val="auto"/>
                <w:sz w:val="21"/>
                <w:szCs w:val="21"/>
              </w:rPr>
              <w:t>14)</w:t>
            </w:r>
            <w:r>
              <w:rPr>
                <w:rFonts w:hint="eastAsia" w:ascii="宋体" w:hAnsi="宋体"/>
                <w:color w:val="auto"/>
                <w:sz w:val="21"/>
                <w:szCs w:val="21"/>
              </w:rPr>
              <w:tab/>
            </w:r>
            <w:r>
              <w:rPr>
                <w:rFonts w:hint="eastAsia" w:ascii="宋体" w:hAnsi="宋体"/>
                <w:color w:val="auto"/>
                <w:sz w:val="21"/>
                <w:szCs w:val="21"/>
              </w:rPr>
              <w:t>活动管理：广告信息、活动管理、活动类别、活动评论和活动报名等；</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3.APP素材资源，包括：视频资源3个、音频资源1个、</w:t>
            </w:r>
            <w:r>
              <w:rPr>
                <w:rFonts w:hint="eastAsia" w:ascii="宋体" w:hAnsi="宋体"/>
                <w:color w:val="auto"/>
                <w:sz w:val="21"/>
                <w:szCs w:val="21"/>
              </w:rPr>
              <w:t>图标素材（原创）129个、图片素材（原创）778个</w:t>
            </w:r>
            <w:r>
              <w:rPr>
                <w:rFonts w:hint="eastAsia" w:ascii="宋体" w:hAnsi="宋体" w:eastAsia="宋体"/>
                <w:color w:val="auto"/>
                <w:sz w:val="21"/>
                <w:szCs w:val="21"/>
              </w:rPr>
              <w:t>、限选案例资源13个。</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4.智慧城市APP</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基于智慧城市API设计智慧城市APP，主要功能包括：</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（1）主页面功能：</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1)轮播图</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2)推荐服务</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3)专题</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4)新闻分类</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5)新闻列表</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6)新闻详情</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color w:val="auto"/>
                <w:sz w:val="21"/>
                <w:szCs w:val="21"/>
              </w:rPr>
              <w:t>（2）停车场功能：</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color w:val="auto"/>
                <w:sz w:val="21"/>
                <w:szCs w:val="21"/>
              </w:rPr>
            </w:pPr>
            <w:r>
              <w:rPr>
                <w:rFonts w:hint="eastAsia" w:ascii="宋体" w:hAnsi="宋体"/>
                <w:color w:val="auto"/>
                <w:sz w:val="21"/>
                <w:szCs w:val="21"/>
              </w:rPr>
              <w:t>1)查看附近停车场</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color w:val="auto"/>
                <w:sz w:val="21"/>
                <w:szCs w:val="21"/>
              </w:rPr>
              <w:t>2)停车场详情</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（3）找工作功能：</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1)找工作</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2)投递记录</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3)个人简历</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（4）个人中心功能：</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1)个人信息设置</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2)我的订单</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3)修改密码</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4)意见反馈</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eastAsia="宋体"/>
                <w:color w:val="auto"/>
                <w:sz w:val="21"/>
                <w:szCs w:val="21"/>
              </w:rPr>
              <w:t>（5）</w:t>
            </w:r>
            <w:r>
              <w:rPr>
                <w:rFonts w:hint="eastAsia" w:ascii="宋体" w:hAnsi="宋体"/>
                <w:color w:val="auto"/>
                <w:sz w:val="21"/>
                <w:szCs w:val="21"/>
              </w:rPr>
              <w:t>门诊预约功能</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color w:val="auto"/>
                <w:sz w:val="21"/>
                <w:szCs w:val="21"/>
              </w:rPr>
            </w:pPr>
            <w:r>
              <w:rPr>
                <w:rFonts w:hint="eastAsia" w:ascii="宋体" w:hAnsi="宋体"/>
                <w:color w:val="auto"/>
                <w:sz w:val="21"/>
                <w:szCs w:val="21"/>
              </w:rPr>
              <w:t>1)医院信息详情</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color w:val="auto"/>
                <w:sz w:val="21"/>
                <w:szCs w:val="21"/>
              </w:rPr>
            </w:pPr>
            <w:r>
              <w:rPr>
                <w:rFonts w:hint="eastAsia" w:ascii="宋体" w:hAnsi="宋体"/>
                <w:color w:val="auto"/>
                <w:sz w:val="21"/>
                <w:szCs w:val="21"/>
              </w:rPr>
              <w:t>2)医院宣传幻灯片</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color w:val="auto"/>
                <w:sz w:val="21"/>
                <w:szCs w:val="21"/>
              </w:rPr>
            </w:pPr>
            <w:r>
              <w:rPr>
                <w:rFonts w:hint="eastAsia" w:ascii="宋体" w:hAnsi="宋体"/>
                <w:color w:val="auto"/>
                <w:sz w:val="21"/>
                <w:szCs w:val="21"/>
              </w:rPr>
              <w:t>3)添加就诊人</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color w:val="auto"/>
                <w:sz w:val="21"/>
                <w:szCs w:val="21"/>
              </w:rPr>
              <w:t>4)修改就诊人信息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olor w:val="auto"/>
                <w:sz w:val="21"/>
                <w:szCs w:val="21"/>
              </w:rPr>
            </w:pPr>
            <w:r>
              <w:rPr>
                <w:rFonts w:hint="eastAsia" w:ascii="宋体" w:hAnsi="宋体" w:eastAsia="宋体"/>
                <w:color w:val="auto"/>
                <w:sz w:val="21"/>
                <w:szCs w:val="21"/>
              </w:rPr>
              <w:t>（6）</w:t>
            </w:r>
            <w:r>
              <w:rPr>
                <w:rFonts w:hint="eastAsia" w:ascii="宋体" w:hAnsi="宋体"/>
                <w:color w:val="auto"/>
                <w:sz w:val="21"/>
                <w:szCs w:val="21"/>
              </w:rPr>
              <w:t>违章查询功能</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color w:val="auto"/>
                <w:sz w:val="21"/>
                <w:szCs w:val="21"/>
              </w:rPr>
            </w:pPr>
            <w:r>
              <w:rPr>
                <w:rFonts w:hint="eastAsia" w:ascii="宋体" w:hAnsi="宋体"/>
                <w:color w:val="auto"/>
                <w:sz w:val="21"/>
                <w:szCs w:val="21"/>
              </w:rPr>
              <w:t>1)违章查询主页</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color w:val="auto"/>
                <w:sz w:val="21"/>
                <w:szCs w:val="21"/>
              </w:rPr>
            </w:pPr>
            <w:r>
              <w:rPr>
                <w:rFonts w:hint="eastAsia" w:ascii="宋体" w:hAnsi="宋体"/>
                <w:color w:val="auto"/>
                <w:sz w:val="21"/>
                <w:szCs w:val="21"/>
              </w:rPr>
              <w:t>2)获取违章信息</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color w:val="auto"/>
                <w:sz w:val="21"/>
                <w:szCs w:val="21"/>
              </w:rPr>
              <w:t>3)查看违章详情</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（7）智慧党建板块</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宋体" w:hAnsi="宋体" w:eastAsia="宋体"/>
                <w:color w:val="auto"/>
                <w:sz w:val="21"/>
                <w:szCs w:val="21"/>
              </w:rPr>
            </w:pPr>
            <w:r>
              <w:rPr>
                <w:rFonts w:hint="eastAsia" w:ascii="宋体" w:hAnsi="宋体" w:eastAsia="宋体"/>
                <w:color w:val="auto"/>
                <w:sz w:val="21"/>
                <w:szCs w:val="21"/>
              </w:rPr>
              <w:t>1)党建展示：首页幻灯片轮播图显示；</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宋体" w:hAnsi="宋体" w:eastAsia="宋体"/>
                <w:color w:val="auto"/>
                <w:sz w:val="21"/>
                <w:szCs w:val="21"/>
              </w:rPr>
            </w:pPr>
            <w:r>
              <w:rPr>
                <w:rFonts w:hint="eastAsia" w:ascii="宋体" w:hAnsi="宋体" w:eastAsia="宋体"/>
                <w:color w:val="auto"/>
                <w:sz w:val="21"/>
                <w:szCs w:val="21"/>
              </w:rPr>
              <w:t>2)党建动态：包括文章展示、文章分类、文章评论等；</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宋体" w:hAnsi="宋体" w:eastAsia="宋体"/>
                <w:color w:val="auto"/>
                <w:sz w:val="21"/>
                <w:szCs w:val="21"/>
              </w:rPr>
            </w:pPr>
            <w:r>
              <w:rPr>
                <w:rFonts w:hint="eastAsia" w:ascii="宋体" w:hAnsi="宋体" w:eastAsia="宋体"/>
                <w:color w:val="auto"/>
                <w:sz w:val="21"/>
                <w:szCs w:val="21"/>
              </w:rPr>
              <w:t>3)党员学习：包括课程分类、章节管理、学习课程记录标识、课程评论等，课程内容包括语音、视频等资源；</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宋体" w:hAnsi="宋体" w:eastAsia="宋体"/>
                <w:color w:val="auto"/>
                <w:sz w:val="21"/>
                <w:szCs w:val="21"/>
              </w:rPr>
            </w:pPr>
            <w:r>
              <w:rPr>
                <w:rFonts w:hint="eastAsia" w:ascii="宋体" w:hAnsi="宋体" w:eastAsia="宋体"/>
                <w:color w:val="auto"/>
                <w:sz w:val="21"/>
                <w:szCs w:val="21"/>
              </w:rPr>
              <w:t>4)组织活动：包括活动展示、活动报名、活动留言等；</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宋体" w:hAnsi="宋体" w:eastAsia="宋体"/>
                <w:color w:val="auto"/>
                <w:sz w:val="21"/>
                <w:szCs w:val="21"/>
              </w:rPr>
            </w:pPr>
            <w:r>
              <w:rPr>
                <w:rFonts w:hint="eastAsia" w:ascii="宋体" w:hAnsi="宋体" w:eastAsia="宋体"/>
                <w:color w:val="auto"/>
                <w:sz w:val="21"/>
                <w:szCs w:val="21"/>
              </w:rPr>
              <w:t>5)建言献策：包括提交问题以及建议给上级，查看留言等；</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宋体" w:hAnsi="宋体" w:eastAsia="宋体"/>
                <w:color w:val="auto"/>
                <w:sz w:val="21"/>
                <w:szCs w:val="21"/>
              </w:rPr>
            </w:pPr>
            <w:r>
              <w:rPr>
                <w:rFonts w:hint="eastAsia" w:ascii="宋体" w:hAnsi="宋体" w:eastAsia="宋体"/>
                <w:color w:val="auto"/>
                <w:sz w:val="21"/>
                <w:szCs w:val="21"/>
              </w:rPr>
              <w:t>6)随手拍：包括随手拍照上传，发现身边的先进，反馈身边的问题，实现人人监督。</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b/>
                <w:color w:val="auto"/>
                <w:sz w:val="21"/>
                <w:szCs w:val="21"/>
              </w:rPr>
            </w:pPr>
            <w:r>
              <w:rPr>
                <w:rFonts w:hint="eastAsia" w:ascii="宋体" w:hAnsi="宋体"/>
                <w:b/>
                <w:color w:val="auto"/>
                <w:sz w:val="21"/>
                <w:szCs w:val="21"/>
              </w:rPr>
              <w:t>四、测试与交付模块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的内容主要包括理论部分和实训部分，通过理论讲解，快速而又准确地让学员认识到软件测试行业需要了解的基本知识，揭开软件测试的神秘面纱，认清软件测试的本质移动开发的基本内容。实训部分主要分文三部分，完成测试用例撰写，查找缺陷并分析，最后撰写产品手册，实现产品交付。</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课程视频主要包括：</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（1）软件测试概述</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（2）软件缺陷概述</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（3）测试用例编写</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（4）等价类划分法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（5）边界值分析法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（6）决策表法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（7）因果图法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（8）场景法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（9）软件测试原则</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（10）语句覆盖、判定覆盖法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（11）条件覆盖、判定条件覆盖法</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（12）条件组合覆盖、路径覆盖</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（13）基本路径法-控制流图</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（14）基本路径法-环形复杂度和独立路径</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（15）产品说明书编写</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以智慧城市为背景，实训主要考察产品测试以及交付工作，考察测试用例设计编写能力，考生需了解被测系统的功能设计，掌握测试流程和测试规范，具备撰写操作文档的综合能力。主要包括测试用例、缺陷分析和产品手册3部分，以下为每个任务的具体实训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【实训资源】</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1.被测系统</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提供被测系统：智慧城市.apk及智慧城市APP功能范围.pdf，利用移动Web技术实现，apk功能主要包括：引导页、注册和登录、主页面、个人中心、全部服务、新闻、城市地铁、智慧巴士、门诊预约、生活缴费、违章查询、停车场、</w:t>
            </w:r>
            <w:r>
              <w:rPr>
                <w:rFonts w:hint="eastAsia" w:ascii="宋体" w:hAnsi="宋体"/>
                <w:color w:val="auto"/>
                <w:sz w:val="21"/>
                <w:szCs w:val="21"/>
              </w:rPr>
              <w:t>找工作和党建等15个功能。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rPr>
              <w:tab/>
            </w:r>
            <w:r>
              <w:rPr>
                <w:rFonts w:hint="eastAsia" w:ascii="宋体" w:hAnsi="宋体" w:eastAsia="宋体"/>
                <w:color w:val="auto"/>
                <w:sz w:val="21"/>
                <w:szCs w:val="21"/>
              </w:rPr>
              <w:t>测试用例实训资源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（1）讲解视频4个，主要包括</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1)项目测试用例撰写讲解</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2)引导页测试用例讲解</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3)主页测试用例讲解</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4)个人中心测试用例讲解</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（2）测试用例模板1个：测试用例模板.xlsx</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（3）测试用用例成果物，包括</w:t>
            </w:r>
            <w:r>
              <w:rPr>
                <w:rFonts w:hint="eastAsia" w:ascii="宋体" w:hAnsi="宋体"/>
                <w:color w:val="auto"/>
                <w:sz w:val="21"/>
                <w:szCs w:val="21"/>
              </w:rPr>
              <w:t>64</w:t>
            </w:r>
            <w:r>
              <w:rPr>
                <w:rFonts w:hint="eastAsia" w:ascii="宋体" w:hAnsi="宋体" w:eastAsia="宋体"/>
                <w:color w:val="auto"/>
                <w:sz w:val="21"/>
                <w:szCs w:val="21"/>
              </w:rPr>
              <w:t>个测试用例，已经主要包括：</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1)引导页功能模块4个测试用例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2)主页面功能模块6个测试用例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3)个人中心功能模块10个测试用例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4)全部服务功能模块3个测试用例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5)新闻功能模块2个测试用例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6)地铁查询功能模块4个测试用例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7)停车场功能模块5个测试用例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8)定制班车功能模块5个测试用例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9)违章查询功能模块5个测试用例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10)生活缴费功能模块5个测试用例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eastAsia="宋体"/>
                <w:color w:val="auto"/>
                <w:sz w:val="21"/>
                <w:szCs w:val="21"/>
              </w:rPr>
              <w:t>11)门诊预约功能模块5个测试用例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color w:val="auto"/>
                <w:sz w:val="21"/>
                <w:szCs w:val="21"/>
              </w:rPr>
            </w:pPr>
            <w:r>
              <w:rPr>
                <w:rFonts w:hint="eastAsia" w:ascii="宋体" w:hAnsi="宋体"/>
                <w:color w:val="auto"/>
                <w:sz w:val="21"/>
                <w:szCs w:val="21"/>
              </w:rPr>
              <w:t>12)找工作功能模块5个测试用例</w:t>
            </w:r>
          </w:p>
          <w:p>
            <w:pPr>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Fonts w:ascii="宋体" w:hAnsi="宋体" w:eastAsia="宋体"/>
                <w:color w:val="auto"/>
                <w:sz w:val="21"/>
                <w:szCs w:val="21"/>
              </w:rPr>
            </w:pPr>
            <w:r>
              <w:rPr>
                <w:rFonts w:hint="eastAsia" w:ascii="宋体" w:hAnsi="宋体"/>
                <w:color w:val="auto"/>
                <w:sz w:val="21"/>
                <w:szCs w:val="21"/>
              </w:rPr>
              <w:t>13)党建功能模块5个测试用例</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3.缺陷分析实训资源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（1）讲解视频3个</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（2）缺陷分析模板1个：缺陷分析.xlsx</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（3）缺陷分析成果物，包括10个缺陷及分析。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4.产品手册实训资源</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（1）讲解视频3个</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（2）产品手册模板1个：产品手册.docx</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（3）产品手册成果物，主要包括编写待测APP的产品定位中心叙述，以及引导页、主页面、个人中心、全部服务、新闻、地铁查询、停车场、智慧巴士、违章查询、生活缴费、门诊预约11个核心功能说明。</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b/>
                <w:bCs/>
                <w:color w:val="auto"/>
                <w:sz w:val="21"/>
                <w:szCs w:val="21"/>
              </w:rPr>
            </w:pPr>
            <w:r>
              <w:rPr>
                <w:rFonts w:hint="eastAsia" w:ascii="宋体" w:hAnsi="宋体" w:eastAsia="宋体"/>
                <w:b/>
                <w:bCs/>
                <w:color w:val="auto"/>
                <w:sz w:val="21"/>
                <w:szCs w:val="21"/>
              </w:rPr>
              <w:t>五、计算节点</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1.管理端：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（1）任务监管：实现学生项目练习的进度管理，通过删除任务记录操作实现任务的重新开启，便于学生再次开启任务计时训练。</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（2）用户管理：实现用户的基本管理。</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2.PC端：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（1）课程学习：实现课程知识的视频学习。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b/>
                <w:bCs/>
                <w:color w:val="auto"/>
                <w:sz w:val="21"/>
                <w:szCs w:val="21"/>
              </w:rPr>
            </w:pPr>
            <w:r>
              <w:rPr>
                <w:rFonts w:hint="eastAsia" w:ascii="宋体" w:hAnsi="宋体" w:eastAsia="宋体"/>
                <w:color w:val="auto"/>
                <w:sz w:val="21"/>
                <w:szCs w:val="21"/>
              </w:rPr>
              <w:t>（2）技能训练：根据试卷技能训练任务的描述，定时分配任务，利用下载的辅助资源，定时完成任务，并提交任务成果物。</w:t>
            </w:r>
            <w:r>
              <w:rPr>
                <w:rFonts w:hint="eastAsia" w:ascii="宋体" w:hAnsi="宋体"/>
                <w:b/>
                <w:bCs/>
                <w:color w:val="auto"/>
                <w:sz w:val="21"/>
                <w:szCs w:val="21"/>
                <w:lang w:val="en-US" w:eastAsia="zh-CN"/>
              </w:rPr>
              <w:t>成交通知书发出后7个工作日内</w:t>
            </w:r>
            <w:r>
              <w:rPr>
                <w:rFonts w:hint="eastAsia" w:ascii="宋体" w:hAnsi="宋体" w:eastAsia="宋体"/>
                <w:b/>
                <w:bCs/>
                <w:color w:val="auto"/>
                <w:sz w:val="21"/>
                <w:szCs w:val="21"/>
              </w:rPr>
              <w:t>提供该项功能截图并加盖</w:t>
            </w:r>
            <w:r>
              <w:rPr>
                <w:rFonts w:hint="eastAsia" w:ascii="宋体" w:hAnsi="宋体"/>
                <w:b/>
                <w:bCs/>
                <w:color w:val="auto"/>
                <w:sz w:val="21"/>
                <w:szCs w:val="21"/>
                <w:lang w:val="en-US" w:eastAsia="zh-CN"/>
              </w:rPr>
              <w:t>谈判响应</w:t>
            </w:r>
            <w:r>
              <w:rPr>
                <w:rFonts w:hint="eastAsia" w:ascii="宋体" w:hAnsi="宋体" w:eastAsia="宋体"/>
                <w:b/>
                <w:bCs/>
                <w:color w:val="auto"/>
                <w:sz w:val="21"/>
                <w:szCs w:val="21"/>
              </w:rPr>
              <w:t>人公章</w:t>
            </w:r>
            <w:r>
              <w:rPr>
                <w:rFonts w:hint="eastAsia" w:ascii="宋体" w:hAnsi="宋体"/>
                <w:b/>
                <w:bCs/>
                <w:color w:val="auto"/>
                <w:sz w:val="21"/>
                <w:szCs w:val="21"/>
                <w:lang w:val="en-US" w:eastAsia="zh-CN"/>
              </w:rPr>
              <w:t>供采购人查验</w:t>
            </w:r>
            <w:r>
              <w:rPr>
                <w:rFonts w:hint="eastAsia" w:ascii="宋体" w:hAnsi="宋体" w:eastAsia="宋体"/>
                <w:b/>
                <w:bCs/>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3.节点配置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（1）Intel至强铜牌3204 （1.9GHz 6核 6线程 8.25M缓存）、内存：16G DDR4 RECC 2666MT/s、硬盘：1TB 10K RPM SAS 12Gbps 2.5英寸热插拔存储设备。</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rPr>
            </w:pPr>
            <w:r>
              <w:rPr>
                <w:rFonts w:hint="eastAsia" w:ascii="宋体" w:hAnsi="宋体" w:eastAsia="宋体"/>
                <w:color w:val="auto"/>
                <w:sz w:val="21"/>
                <w:szCs w:val="21"/>
              </w:rPr>
              <w:t>（2）加密狗。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Cs w:val="21"/>
                <w:lang w:val="en-US" w:eastAsia="zh-CN"/>
              </w:rPr>
            </w:pPr>
            <w:r>
              <w:rPr>
                <w:rFonts w:hint="eastAsia" w:ascii="宋体" w:hAnsi="宋体" w:eastAsia="宋体"/>
                <w:color w:val="auto"/>
                <w:sz w:val="21"/>
                <w:szCs w:val="21"/>
              </w:rPr>
              <w:t>4.</w:t>
            </w:r>
            <w:r>
              <w:rPr>
                <w:rFonts w:hint="eastAsia" w:ascii="宋体" w:hAnsi="宋体" w:eastAsia="宋体"/>
                <w:b/>
                <w:bCs/>
                <w:color w:val="auto"/>
                <w:sz w:val="21"/>
                <w:szCs w:val="21"/>
              </w:rPr>
              <w:t>投标</w:t>
            </w:r>
            <w:r>
              <w:rPr>
                <w:rFonts w:hint="eastAsia" w:ascii="宋体" w:hAnsi="宋体"/>
                <w:b/>
                <w:bCs/>
                <w:color w:val="auto"/>
                <w:sz w:val="21"/>
                <w:szCs w:val="21"/>
                <w:lang w:val="en-US" w:eastAsia="zh-CN"/>
              </w:rPr>
              <w:t>时</w:t>
            </w:r>
            <w:r>
              <w:rPr>
                <w:rFonts w:hint="eastAsia" w:ascii="宋体" w:hAnsi="宋体" w:eastAsia="宋体"/>
                <w:b/>
                <w:bCs/>
                <w:color w:val="auto"/>
                <w:sz w:val="21"/>
                <w:szCs w:val="21"/>
              </w:rPr>
              <w:t>提供《移动应用开发技能训练系统使用说明手册》。</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color w:val="auto"/>
                <w:szCs w:val="21"/>
                <w:lang w:val="en-US" w:eastAsia="zh-CN"/>
              </w:rPr>
            </w:pPr>
            <w:r>
              <w:rPr>
                <w:rFonts w:hint="eastAsia" w:ascii="宋体" w:hAnsi="宋体" w:eastAsia="宋体" w:cs="宋体"/>
                <w:b w:val="0"/>
                <w:bCs/>
                <w:sz w:val="21"/>
                <w:szCs w:val="21"/>
              </w:rPr>
              <w:t>套</w:t>
            </w:r>
          </w:p>
        </w:tc>
        <w:tc>
          <w:tcPr>
            <w:tcW w:w="795" w:type="dxa"/>
            <w:tcBorders>
              <w:top w:val="single" w:color="auto" w:sz="4" w:space="0"/>
              <w:left w:val="single" w:color="auto" w:sz="4" w:space="0"/>
              <w:bottom w:val="single" w:color="auto" w:sz="4" w:space="0"/>
              <w:right w:val="single" w:color="auto" w:sz="4" w:space="0"/>
            </w:tcBorders>
            <w:vAlign w:val="center"/>
          </w:tcPr>
          <w:p>
            <w:pPr>
              <w:wordWrap w:val="0"/>
              <w:spacing w:line="240" w:lineRule="atLeast"/>
              <w:jc w:val="center"/>
              <w:rPr>
                <w:rFonts w:hint="default" w:ascii="宋体" w:hAnsi="宋体" w:cs="宋体"/>
                <w:b w:val="0"/>
                <w:bCs/>
                <w:color w:val="auto"/>
                <w:szCs w:val="21"/>
                <w:lang w:val="en-US" w:eastAsia="zh-CN"/>
              </w:rPr>
            </w:pPr>
            <w:r>
              <w:rPr>
                <w:rFonts w:hint="eastAsia" w:ascii="宋体" w:hAnsi="宋体" w:eastAsia="宋体" w:cs="宋体"/>
                <w:b w:val="0"/>
                <w:bCs/>
                <w:sz w:val="21"/>
                <w:szCs w:val="21"/>
              </w:rPr>
              <w:t>1</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361"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谈判响应人的谈判响应文件必须标明所投货物的品牌与参数，保证原厂正品供货，提供相关资料等。</w:t>
            </w:r>
          </w:p>
          <w:p>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cs="宋体"/>
                <w:b/>
                <w:color w:val="auto"/>
                <w:sz w:val="21"/>
                <w:szCs w:val="21"/>
              </w:rPr>
            </w:pPr>
            <w:r>
              <w:rPr>
                <w:rFonts w:hint="eastAsia" w:ascii="宋体" w:hAnsi="宋体" w:cs="宋体"/>
                <w:b/>
                <w:color w:val="auto"/>
                <w:sz w:val="21"/>
                <w:szCs w:val="21"/>
              </w:rPr>
              <w:t>投标产品必须完全满足2021年安徽省职业院校技能大赛“移动应用开发”项目实训和竞赛需求，产品提供3年免费质保服务，包含的软件和资源须提供不少于1年的免费升级服务</w:t>
            </w:r>
            <w:r>
              <w:rPr>
                <w:rFonts w:hint="eastAsia" w:ascii="宋体" w:hAnsi="宋体" w:cs="宋体"/>
                <w:b/>
                <w:color w:val="auto"/>
                <w:sz w:val="21"/>
                <w:szCs w:val="21"/>
                <w:lang w:eastAsia="zh-CN"/>
              </w:rPr>
              <w:t>；</w:t>
            </w:r>
            <w:r>
              <w:rPr>
                <w:rFonts w:hint="eastAsia" w:ascii="宋体" w:hAnsi="宋体" w:cs="宋体"/>
                <w:b/>
                <w:color w:val="auto"/>
                <w:sz w:val="21"/>
                <w:szCs w:val="21"/>
              </w:rPr>
              <w:t>投标时提供承诺函</w:t>
            </w:r>
            <w:r>
              <w:rPr>
                <w:rFonts w:hint="eastAsia" w:ascii="宋体" w:hAnsi="宋体" w:cs="宋体"/>
                <w:b/>
                <w:color w:val="auto"/>
                <w:sz w:val="21"/>
                <w:szCs w:val="21"/>
                <w:lang w:eastAsia="zh-CN"/>
              </w:rPr>
              <w:t>（</w:t>
            </w:r>
            <w:r>
              <w:rPr>
                <w:rFonts w:hint="eastAsia" w:ascii="宋体" w:hAnsi="宋体" w:cs="宋体"/>
                <w:b/>
                <w:color w:val="auto"/>
                <w:sz w:val="21"/>
                <w:szCs w:val="21"/>
                <w:lang w:val="en-US" w:eastAsia="zh-CN"/>
              </w:rPr>
              <w:t>承诺函须包含上述内容</w:t>
            </w:r>
            <w:r>
              <w:rPr>
                <w:rFonts w:hint="eastAsia" w:ascii="宋体" w:hAnsi="宋体" w:cs="宋体"/>
                <w:b/>
                <w:color w:val="auto"/>
                <w:sz w:val="21"/>
                <w:szCs w:val="21"/>
                <w:lang w:eastAsia="zh-CN"/>
              </w:rPr>
              <w:t>）</w:t>
            </w:r>
            <w:r>
              <w:rPr>
                <w:rFonts w:hint="eastAsia" w:ascii="宋体" w:hAnsi="宋体" w:cs="宋体"/>
                <w:b/>
                <w:color w:val="auto"/>
                <w:sz w:val="21"/>
                <w:szCs w:val="21"/>
              </w:rPr>
              <w:t>并加盖</w:t>
            </w:r>
            <w:r>
              <w:rPr>
                <w:rFonts w:hint="eastAsia" w:ascii="宋体" w:hAnsi="宋体" w:cs="宋体"/>
                <w:b/>
                <w:color w:val="auto"/>
                <w:sz w:val="21"/>
                <w:szCs w:val="21"/>
                <w:lang w:val="en-US" w:eastAsia="zh-CN"/>
              </w:rPr>
              <w:t>谈判响应</w:t>
            </w:r>
            <w:r>
              <w:rPr>
                <w:rFonts w:hint="eastAsia" w:ascii="宋体" w:hAnsi="宋体" w:cs="宋体"/>
                <w:b/>
                <w:color w:val="auto"/>
                <w:sz w:val="21"/>
                <w:szCs w:val="21"/>
              </w:rPr>
              <w:t>人公章。</w:t>
            </w:r>
          </w:p>
          <w:p>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cs="宋体"/>
                <w:b/>
                <w:color w:val="auto"/>
                <w:sz w:val="21"/>
                <w:szCs w:val="21"/>
              </w:rPr>
            </w:pPr>
            <w:r>
              <w:rPr>
                <w:rFonts w:hint="eastAsia" w:ascii="宋体" w:hAnsi="宋体" w:cs="宋体"/>
                <w:b/>
                <w:color w:val="auto"/>
                <w:sz w:val="21"/>
                <w:szCs w:val="21"/>
                <w:lang w:val="en-US" w:eastAsia="zh-CN"/>
              </w:rPr>
              <w:t>供应商或所投软件产品制造商具有中华人民共和国国家版权局颁发的移动应用开发技能实训系统软件著作权登记证书，</w:t>
            </w:r>
            <w:r>
              <w:rPr>
                <w:rFonts w:hint="eastAsia" w:ascii="宋体" w:hAnsi="宋体" w:cs="宋体"/>
                <w:b/>
                <w:strike w:val="0"/>
                <w:dstrike w:val="0"/>
                <w:color w:val="auto"/>
                <w:sz w:val="21"/>
                <w:szCs w:val="21"/>
                <w:lang w:val="en-US" w:eastAsia="zh-CN"/>
              </w:rPr>
              <w:t>在成交通知书发出后7个工作日内提供</w:t>
            </w:r>
            <w:r>
              <w:rPr>
                <w:rFonts w:hint="eastAsia" w:ascii="宋体" w:hAnsi="宋体" w:cs="宋体"/>
                <w:b/>
                <w:color w:val="auto"/>
                <w:sz w:val="21"/>
                <w:szCs w:val="21"/>
                <w:lang w:val="en-US" w:eastAsia="zh-CN"/>
              </w:rPr>
              <w:t>软件著作权登记证书复印件并加盖供应商公章供采购人查验</w:t>
            </w:r>
            <w:r>
              <w:rPr>
                <w:rFonts w:hint="eastAsia" w:ascii="宋体" w:hAnsi="宋体" w:cs="宋体"/>
                <w:b/>
                <w:strike w:val="0"/>
                <w:dstrike w:val="0"/>
                <w:color w:val="auto"/>
                <w:sz w:val="21"/>
                <w:szCs w:val="21"/>
                <w:lang w:val="en-US" w:eastAsia="zh-CN"/>
              </w:rPr>
              <w:t>，若成交人未在竞争性谈判文件要求的期限内提供或成交人提供的证明资料不能完全符合竞争性谈判文件要求，则视为虚假响应。</w:t>
            </w:r>
          </w:p>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color w:val="auto"/>
                <w:kern w:val="0"/>
                <w:sz w:val="24"/>
                <w:highlight w:val="none"/>
              </w:rPr>
            </w:pPr>
            <w:r>
              <w:rPr>
                <w:rFonts w:hint="eastAsia" w:ascii="宋体" w:hAnsi="宋体" w:cs="宋体"/>
                <w:b/>
                <w:color w:val="auto"/>
                <w:szCs w:val="21"/>
                <w:highlight w:val="none"/>
              </w:rPr>
              <w:t>本次采购最高限价：人民币</w:t>
            </w:r>
            <w:r>
              <w:rPr>
                <w:rFonts w:hint="eastAsia" w:ascii="宋体" w:hAnsi="宋体" w:cs="宋体"/>
                <w:b/>
                <w:color w:val="auto"/>
                <w:szCs w:val="21"/>
                <w:highlight w:val="none"/>
                <w:lang w:val="en-US" w:eastAsia="zh-CN"/>
              </w:rPr>
              <w:t>壹拾陆万</w:t>
            </w:r>
            <w:r>
              <w:rPr>
                <w:rFonts w:hint="eastAsia" w:ascii="宋体" w:hAnsi="宋体" w:cs="宋体"/>
                <w:b/>
                <w:color w:val="auto"/>
                <w:szCs w:val="21"/>
                <w:highlight w:val="none"/>
              </w:rPr>
              <w:t>元整（￥</w:t>
            </w:r>
            <w:r>
              <w:rPr>
                <w:rFonts w:hint="eastAsia" w:ascii="宋体" w:hAnsi="宋体" w:cs="宋体"/>
                <w:b/>
                <w:color w:val="auto"/>
                <w:szCs w:val="21"/>
                <w:highlight w:val="none"/>
                <w:lang w:val="en-US" w:eastAsia="zh-CN"/>
              </w:rPr>
              <w:t>160000.00</w:t>
            </w:r>
            <w:r>
              <w:rPr>
                <w:rFonts w:hint="eastAsia" w:ascii="宋体" w:hAnsi="宋体" w:cs="宋体"/>
                <w:b/>
                <w:color w:val="auto"/>
                <w:szCs w:val="21"/>
                <w:highlight w:val="none"/>
              </w:rPr>
              <w:t>元）</w:t>
            </w:r>
          </w:p>
        </w:tc>
      </w:tr>
      <w:bookmarkEnd w:id="77"/>
    </w:tbl>
    <w:p>
      <w:pPr>
        <w:pStyle w:val="5"/>
        <w:ind w:firstLine="472" w:firstLineChars="196"/>
        <w:rPr>
          <w:rFonts w:hint="eastAsia" w:hAnsi="宋体" w:cs="宋体"/>
          <w:color w:val="000000"/>
          <w:highlight w:val="none"/>
        </w:rPr>
      </w:pPr>
    </w:p>
    <w:p>
      <w:pPr>
        <w:pStyle w:val="5"/>
        <w:ind w:firstLine="472" w:firstLineChars="196"/>
        <w:rPr>
          <w:rFonts w:hAnsi="宋体" w:cs="宋体"/>
          <w:color w:val="000000"/>
          <w:highlight w:val="none"/>
        </w:rPr>
      </w:pPr>
      <w:r>
        <w:rPr>
          <w:rFonts w:hint="eastAsia" w:hAnsi="宋体" w:cs="宋体"/>
          <w:color w:val="000000"/>
          <w:highlight w:val="none"/>
        </w:rPr>
        <w:t>二、人员培训要求</w:t>
      </w:r>
      <w:bookmarkEnd w:id="78"/>
      <w:bookmarkEnd w:id="79"/>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5"/>
        <w:ind w:firstLine="472" w:firstLineChars="196"/>
        <w:rPr>
          <w:rFonts w:hAnsi="宋体" w:cs="宋体"/>
          <w:color w:val="000000"/>
          <w:highlight w:val="none"/>
        </w:rPr>
      </w:pPr>
      <w:bookmarkStart w:id="80" w:name="_Toc54938483"/>
      <w:bookmarkStart w:id="81" w:name="_Toc21193"/>
      <w:r>
        <w:rPr>
          <w:rFonts w:hint="eastAsia" w:hAnsi="宋体" w:cs="宋体"/>
          <w:color w:val="000000"/>
          <w:highlight w:val="none"/>
        </w:rPr>
        <w:t>三、货物质量及售后服务要求</w:t>
      </w:r>
      <w:bookmarkEnd w:id="80"/>
      <w:bookmarkEnd w:id="81"/>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5"/>
        <w:ind w:firstLine="472" w:firstLineChars="196"/>
        <w:rPr>
          <w:rFonts w:hAnsi="宋体" w:cs="宋体"/>
          <w:color w:val="000000"/>
          <w:highlight w:val="none"/>
        </w:rPr>
      </w:pPr>
      <w:bookmarkStart w:id="82" w:name="_Toc23093"/>
      <w:bookmarkStart w:id="83" w:name="_Toc54938484"/>
      <w:r>
        <w:rPr>
          <w:rFonts w:hint="eastAsia" w:hAnsi="宋体" w:cs="宋体"/>
          <w:color w:val="000000"/>
          <w:highlight w:val="none"/>
        </w:rPr>
        <w:t>四、验收</w:t>
      </w:r>
      <w:bookmarkEnd w:id="82"/>
      <w:bookmarkEnd w:id="83"/>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widowControl/>
        <w:jc w:val="left"/>
        <w:rPr>
          <w:rFonts w:ascii="宋体" w:hAnsi="宋体" w:cs="宋体"/>
          <w:color w:val="auto"/>
          <w:szCs w:val="21"/>
        </w:rPr>
      </w:pPr>
      <w:r>
        <w:rPr>
          <w:rFonts w:ascii="宋体" w:hAnsi="宋体" w:cs="宋体"/>
          <w:color w:val="auto"/>
          <w:szCs w:val="21"/>
        </w:rPr>
        <w:br w:type="page"/>
      </w:r>
    </w:p>
    <w:p>
      <w:pPr>
        <w:pStyle w:val="2"/>
        <w:rPr>
          <w:rFonts w:ascii="宋体" w:hAnsi="宋体" w:cs="宋体"/>
          <w:color w:val="auto"/>
        </w:rPr>
      </w:pPr>
      <w:bookmarkStart w:id="84" w:name="_Toc54939199"/>
      <w:bookmarkStart w:id="85" w:name="_Toc7241"/>
      <w:r>
        <w:rPr>
          <w:rFonts w:hint="eastAsia" w:ascii="宋体" w:hAnsi="宋体" w:cs="宋体"/>
          <w:color w:val="auto"/>
        </w:rPr>
        <w:t>第四章  合同主要条款</w:t>
      </w:r>
      <w:bookmarkEnd w:id="84"/>
      <w:bookmarkEnd w:id="85"/>
    </w:p>
    <w:p>
      <w:pPr>
        <w:tabs>
          <w:tab w:val="left" w:pos="3640"/>
        </w:tabs>
        <w:autoSpaceDE w:val="0"/>
        <w:autoSpaceDN w:val="0"/>
        <w:spacing w:line="360" w:lineRule="auto"/>
        <w:rPr>
          <w:rFonts w:ascii="宋体" w:hAnsi="宋体" w:cs="宋体"/>
          <w:color w:val="000000"/>
          <w:szCs w:val="21"/>
          <w:highlight w:val="none"/>
          <w:u w:val="single"/>
        </w:rPr>
      </w:pPr>
      <w:bookmarkStart w:id="86" w:name="_Toc26873"/>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总价：</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tc>
      </w:tr>
    </w:tbl>
    <w:p>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：依据商品的保修条款、售后服务条款，竞争性谈判文件另有要求的从其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2、竞争性谈判文件；</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pPr>
        <w:spacing w:line="360" w:lineRule="auto"/>
        <w:rPr>
          <w:rFonts w:ascii="宋体" w:hAnsi="宋体"/>
          <w:color w:val="auto"/>
          <w:spacing w:val="8"/>
          <w:szCs w:val="21"/>
          <w:u w:val="single"/>
        </w:rPr>
      </w:pPr>
    </w:p>
    <w:p>
      <w:pPr>
        <w:tabs>
          <w:tab w:val="left" w:pos="3640"/>
        </w:tabs>
        <w:autoSpaceDE w:val="0"/>
        <w:autoSpaceDN w:val="0"/>
        <w:spacing w:line="360" w:lineRule="auto"/>
        <w:rPr>
          <w:rFonts w:ascii="宋体" w:hAnsi="宋体" w:cs="宋体"/>
          <w:color w:val="auto"/>
          <w:szCs w:val="21"/>
        </w:rPr>
      </w:pP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widowControl/>
        <w:jc w:val="left"/>
        <w:rPr>
          <w:rFonts w:ascii="宋体" w:hAnsi="宋体" w:cs="宋体"/>
          <w:color w:val="auto"/>
          <w:szCs w:val="21"/>
        </w:rPr>
      </w:pPr>
      <w:r>
        <w:rPr>
          <w:rFonts w:ascii="宋体" w:hAnsi="宋体" w:cs="宋体"/>
          <w:color w:val="auto"/>
          <w:szCs w:val="21"/>
        </w:rPr>
        <w:br w:type="page"/>
      </w:r>
    </w:p>
    <w:p>
      <w:pPr>
        <w:pStyle w:val="2"/>
        <w:rPr>
          <w:rFonts w:ascii="宋体" w:hAnsi="宋体" w:cs="宋体"/>
          <w:color w:val="auto"/>
        </w:rPr>
      </w:pPr>
      <w:bookmarkStart w:id="87" w:name="_Toc54939200"/>
      <w:r>
        <w:rPr>
          <w:rFonts w:hint="eastAsia" w:ascii="宋体" w:hAnsi="宋体" w:cs="宋体"/>
          <w:color w:val="auto"/>
        </w:rPr>
        <w:t>第五章   谈判响应文件格式</w:t>
      </w:r>
      <w:bookmarkEnd w:id="86"/>
      <w:bookmarkEnd w:id="87"/>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b/>
          <w:color w:val="auto"/>
          <w:spacing w:val="20"/>
          <w:sz w:val="36"/>
          <w:szCs w:val="36"/>
        </w:rPr>
      </w:pPr>
      <w:r>
        <w:rPr>
          <w:rFonts w:hint="eastAsia" w:ascii="宋体" w:hAnsi="宋体" w:cs="宋体"/>
          <w:b/>
          <w:color w:val="auto"/>
          <w:spacing w:val="20"/>
          <w:sz w:val="36"/>
          <w:szCs w:val="36"/>
          <w:u w:val="single"/>
        </w:rPr>
        <w:t xml:space="preserve">                              </w:t>
      </w:r>
      <w:r>
        <w:rPr>
          <w:rFonts w:hint="eastAsia" w:ascii="宋体" w:hAnsi="宋体" w:cs="宋体"/>
          <w:b/>
          <w:color w:val="auto"/>
          <w:spacing w:val="20"/>
          <w:sz w:val="36"/>
          <w:szCs w:val="36"/>
        </w:rPr>
        <w:t>采购</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rPr>
        <w:t>法定代表人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货物报价表</w:t>
      </w:r>
      <w:r>
        <w:rPr>
          <w:rFonts w:hint="eastAsia" w:ascii="宋体" w:hAnsi="宋体" w:cs="宋体"/>
          <w:color w:val="auto"/>
          <w:sz w:val="24"/>
        </w:rPr>
        <w:t>（首轮）、最终报价表</w:t>
      </w:r>
    </w:p>
    <w:p>
      <w:pPr>
        <w:spacing w:line="48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三、</w:t>
      </w:r>
      <w:r>
        <w:rPr>
          <w:rFonts w:hint="eastAsia" w:ascii="宋体" w:hAnsi="宋体" w:cs="宋体"/>
          <w:color w:val="auto"/>
          <w:sz w:val="24"/>
          <w:lang w:eastAsia="zh-CN"/>
        </w:rPr>
        <w:t>技术参数响应表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w:t>
      </w:r>
      <w:r>
        <w:rPr>
          <w:rFonts w:hint="eastAsia" w:ascii="宋体" w:hAnsi="宋体" w:cs="宋体"/>
          <w:color w:val="000000"/>
          <w:sz w:val="24"/>
          <w:highlight w:val="none"/>
        </w:rPr>
        <w:t>供货及谈判响应技术方案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5"/>
        <w:jc w:val="center"/>
        <w:rPr>
          <w:rFonts w:hAnsi="宋体" w:cs="宋体"/>
          <w:color w:val="auto"/>
        </w:rPr>
      </w:pPr>
      <w:bookmarkStart w:id="88" w:name="_Toc13905"/>
      <w:bookmarkStart w:id="89" w:name="_Toc54939201"/>
      <w:r>
        <w:rPr>
          <w:rFonts w:hint="eastAsia" w:hAnsi="宋体" w:cs="宋体"/>
          <w:color w:val="auto"/>
        </w:rPr>
        <w:t>一、谈判响应函</w:t>
      </w:r>
      <w:bookmarkEnd w:id="88"/>
      <w:bookmarkEnd w:id="89"/>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安庆职业技术学院</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1、根据贵方竞争性谈判公告，我方决定参加贵方组织的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2021年安徽省职业院校技能大赛“移动应用开发”项目采购</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rPr>
        <w:t>。</w:t>
      </w:r>
    </w:p>
    <w:p>
      <w:pPr>
        <w:pStyle w:val="11"/>
        <w:tabs>
          <w:tab w:val="left" w:pos="5580"/>
        </w:tabs>
        <w:spacing w:line="360" w:lineRule="auto"/>
        <w:ind w:firstLine="420" w:firstLineChars="200"/>
        <w:rPr>
          <w:rFonts w:hAnsi="宋体" w:cs="宋体"/>
          <w:color w:val="auto"/>
          <w:szCs w:val="21"/>
          <w:highlight w:val="none"/>
        </w:rPr>
      </w:pPr>
      <w:r>
        <w:rPr>
          <w:rFonts w:hint="eastAsia" w:hAnsi="宋体" w:cs="宋体"/>
          <w:color w:val="auto"/>
          <w:szCs w:val="21"/>
        </w:rPr>
        <w:t>3、一旦我方成交，我方将严格履行合同约定的责任和义</w:t>
      </w:r>
      <w:r>
        <w:rPr>
          <w:rFonts w:hint="eastAsia" w:hAnsi="宋体" w:cs="宋体"/>
          <w:color w:val="auto"/>
          <w:szCs w:val="21"/>
          <w:highlight w:val="none"/>
        </w:rPr>
        <w:t>务，</w:t>
      </w:r>
      <w:r>
        <w:rPr>
          <w:rFonts w:hint="eastAsia" w:hAnsi="宋体"/>
          <w:color w:val="auto"/>
          <w:szCs w:val="21"/>
          <w:highlight w:val="none"/>
        </w:rPr>
        <w:t>保证于合同签字生效后</w:t>
      </w:r>
      <w:r>
        <w:rPr>
          <w:rFonts w:hint="eastAsia" w:hAnsi="宋体"/>
          <w:color w:val="auto"/>
          <w:szCs w:val="21"/>
          <w:highlight w:val="none"/>
          <w:u w:val="single"/>
        </w:rPr>
        <w:t xml:space="preserve">     </w:t>
      </w:r>
      <w:r>
        <w:rPr>
          <w:rFonts w:hint="eastAsia" w:hAnsi="宋体"/>
          <w:color w:val="auto"/>
          <w:szCs w:val="21"/>
          <w:highlight w:val="none"/>
          <w:lang w:val="en-US" w:eastAsia="zh-CN"/>
        </w:rPr>
        <w:t>日历天</w:t>
      </w:r>
      <w:r>
        <w:rPr>
          <w:rFonts w:hint="eastAsia" w:hAnsi="宋体"/>
          <w:color w:val="auto"/>
          <w:szCs w:val="21"/>
          <w:highlight w:val="none"/>
        </w:rPr>
        <w:t>完成项目的交货、安装、调试，并交付采购人验收、使用。</w:t>
      </w:r>
    </w:p>
    <w:p>
      <w:pPr>
        <w:pStyle w:val="11"/>
        <w:tabs>
          <w:tab w:val="left" w:pos="5580"/>
        </w:tabs>
        <w:spacing w:line="360" w:lineRule="auto"/>
        <w:ind w:firstLine="394" w:firstLineChars="199"/>
        <w:rPr>
          <w:rFonts w:hAnsi="宋体" w:cs="宋体"/>
          <w:color w:val="auto"/>
          <w:szCs w:val="21"/>
        </w:rPr>
      </w:pPr>
      <w:r>
        <w:rPr>
          <w:rFonts w:hint="eastAsia" w:hAnsi="宋体" w:cs="宋体"/>
          <w:color w:val="auto"/>
          <w:spacing w:val="-6"/>
          <w:szCs w:val="21"/>
        </w:rPr>
        <w:t>4、</w:t>
      </w:r>
      <w:r>
        <w:rPr>
          <w:rFonts w:hint="eastAsia" w:hAnsi="宋体" w:cs="宋体"/>
          <w:color w:val="auto"/>
          <w:szCs w:val="21"/>
        </w:rPr>
        <w:t>我方保证按照本项目竞争性谈判文件要求提交谈判响应文件。</w:t>
      </w:r>
    </w:p>
    <w:p>
      <w:pPr>
        <w:pStyle w:val="11"/>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6</w:t>
      </w:r>
      <w:r>
        <w:rPr>
          <w:rFonts w:hint="eastAsia" w:hAnsi="宋体" w:cs="宋体"/>
          <w:color w:val="auto"/>
          <w:szCs w:val="21"/>
        </w:rPr>
        <w:t>、我方完全理解贵方不一定将合同授予最低报价的谈判响应人。</w:t>
      </w: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法定代表人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1"/>
        <w:tabs>
          <w:tab w:val="left" w:pos="5580"/>
        </w:tabs>
        <w:spacing w:line="360" w:lineRule="auto"/>
        <w:ind w:firstLine="420" w:firstLineChars="200"/>
        <w:rPr>
          <w:rFonts w:hAnsi="宋体" w:cs="宋体"/>
          <w:color w:val="auto"/>
          <w:szCs w:val="21"/>
          <w:u w:val="single"/>
        </w:rPr>
      </w:pPr>
    </w:p>
    <w:p>
      <w:pPr>
        <w:pStyle w:val="11"/>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rPr>
          <w:rFonts w:ascii="宋体" w:hAnsi="宋体" w:cs="宋体"/>
          <w:color w:val="auto"/>
          <w:sz w:val="24"/>
        </w:rPr>
      </w:pPr>
    </w:p>
    <w:p>
      <w:pPr>
        <w:pStyle w:val="5"/>
        <w:jc w:val="center"/>
        <w:rPr>
          <w:rFonts w:hAnsi="宋体" w:cs="宋体"/>
          <w:color w:val="auto"/>
        </w:rPr>
      </w:pPr>
      <w:bookmarkStart w:id="90" w:name="_Toc12161"/>
      <w:bookmarkStart w:id="91" w:name="_Toc54939202"/>
      <w:bookmarkStart w:id="92" w:name="_Toc7098"/>
      <w:r>
        <w:rPr>
          <w:rFonts w:hint="eastAsia" w:hAnsi="宋体" w:cs="宋体"/>
          <w:color w:val="auto"/>
        </w:rPr>
        <w:t>二、</w:t>
      </w:r>
      <w:bookmarkEnd w:id="90"/>
      <w:r>
        <w:rPr>
          <w:rFonts w:hint="eastAsia" w:hAnsi="宋体" w:cs="宋体"/>
          <w:color w:val="auto"/>
          <w:lang w:eastAsia="zh-CN"/>
        </w:rPr>
        <w:t>货物报价表</w:t>
      </w:r>
      <w:r>
        <w:rPr>
          <w:rFonts w:hint="eastAsia" w:hAnsi="宋体" w:cs="宋体"/>
          <w:color w:val="auto"/>
        </w:rPr>
        <w:t>(首轮)</w:t>
      </w:r>
      <w:bookmarkEnd w:id="91"/>
      <w:bookmarkEnd w:id="92"/>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CG-AZ-2021-019</w:t>
      </w:r>
      <w:r>
        <w:rPr>
          <w:rFonts w:hint="eastAsia" w:ascii="宋体" w:hAnsi="宋体" w:cs="宋体"/>
          <w:color w:val="auto"/>
          <w:szCs w:val="21"/>
          <w:highlight w:val="none"/>
        </w:rPr>
        <w:t xml:space="preserve">  </w:t>
      </w:r>
    </w:p>
    <w:p>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2021年安徽省职业院校技能大赛“移动应用开发”项目采购</w:t>
      </w:r>
      <w:r>
        <w:rPr>
          <w:rFonts w:hint="eastAsia" w:ascii="宋体" w:hAnsi="宋体" w:cs="宋体"/>
          <w:color w:val="auto"/>
          <w:szCs w:val="21"/>
        </w:rPr>
        <w:t xml:space="preserve">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74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9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6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32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5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r>
              <w:rPr>
                <w:rFonts w:hint="eastAsia" w:ascii="宋体" w:hAnsi="宋体" w:cs="宋体"/>
                <w:color w:val="000000"/>
                <w:spacing w:val="-4"/>
                <w:szCs w:val="21"/>
                <w:highlight w:val="none"/>
              </w:rPr>
              <w:t>总价</w:t>
            </w:r>
          </w:p>
        </w:tc>
        <w:tc>
          <w:tcPr>
            <w:tcW w:w="8677" w:type="dxa"/>
            <w:gridSpan w:val="6"/>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5"/>
        <w:jc w:val="center"/>
        <w:rPr>
          <w:rFonts w:hAnsi="宋体" w:cs="宋体"/>
          <w:color w:val="auto"/>
          <w:u w:val="single"/>
        </w:rPr>
      </w:pPr>
      <w:bookmarkStart w:id="93" w:name="_Toc15489"/>
      <w:bookmarkStart w:id="94" w:name="_Toc54939203"/>
      <w:bookmarkStart w:id="95" w:name="_Toc10635"/>
      <w:r>
        <w:rPr>
          <w:rFonts w:hint="eastAsia" w:hAnsi="宋体" w:cs="宋体"/>
          <w:color w:val="auto"/>
        </w:rPr>
        <w:t>最终报价表</w:t>
      </w:r>
      <w:bookmarkEnd w:id="93"/>
      <w:bookmarkEnd w:id="94"/>
      <w:bookmarkEnd w:id="95"/>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CG-AZ-2021-019</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360" w:lineRule="auto"/>
        <w:rPr>
          <w:rFonts w:ascii="宋体" w:hAnsi="宋体" w:cs="宋体"/>
          <w:color w:val="auto"/>
          <w:kern w:val="0"/>
          <w:sz w:val="24"/>
          <w:lang w:val="zh-CN"/>
        </w:rPr>
      </w:pPr>
      <w:r>
        <w:rPr>
          <w:rFonts w:hint="eastAsia" w:ascii="宋体" w:hAnsi="宋体" w:cs="宋体"/>
          <w:color w:val="auto"/>
          <w:szCs w:val="21"/>
        </w:rPr>
        <w:t xml:space="preserve">项目编号： </w:t>
      </w:r>
      <w:r>
        <w:rPr>
          <w:rFonts w:hint="eastAsia" w:ascii="宋体" w:hAnsi="宋体" w:cs="宋体"/>
          <w:color w:val="auto"/>
          <w:szCs w:val="21"/>
          <w:lang w:eastAsia="zh-CN"/>
        </w:rPr>
        <w:t>2021年安徽省职业院校技能大赛“移动应用开发”项目采购</w:t>
      </w:r>
      <w:r>
        <w:rPr>
          <w:rFonts w:hint="eastAsia" w:ascii="宋体" w:hAnsi="宋体" w:cs="宋体"/>
          <w:color w:val="auto"/>
          <w:szCs w:val="21"/>
        </w:rPr>
        <w:t xml:space="preserve"> </w:t>
      </w:r>
    </w:p>
    <w:p>
      <w:pPr>
        <w:spacing w:line="360" w:lineRule="auto"/>
        <w:ind w:firstLine="6090" w:firstLineChars="2900"/>
        <w:rPr>
          <w:rFonts w:ascii="宋体" w:hAnsi="宋体" w:cs="宋体"/>
          <w:color w:val="auto"/>
        </w:rPr>
      </w:pPr>
      <w:r>
        <w:rPr>
          <w:rFonts w:hint="eastAsia" w:ascii="宋体" w:hAnsi="宋体" w:cs="宋体"/>
          <w:color w:val="auto"/>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7507" w:type="dxa"/>
            <w:vAlign w:val="center"/>
          </w:tcPr>
          <w:p>
            <w:pPr>
              <w:wordWrap w:val="0"/>
              <w:spacing w:line="400" w:lineRule="exact"/>
              <w:rPr>
                <w:rFonts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color w:val="auto"/>
                <w:sz w:val="24"/>
              </w:rPr>
            </w:pPr>
          </w:p>
        </w:tc>
        <w:tc>
          <w:tcPr>
            <w:tcW w:w="7507" w:type="dxa"/>
            <w:vAlign w:val="center"/>
          </w:tcPr>
          <w:p>
            <w:pPr>
              <w:wordWrap w:val="0"/>
              <w:rPr>
                <w:rFonts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highlight w:val="none"/>
              </w:rPr>
            </w:pPr>
            <w:r>
              <w:rPr>
                <w:rFonts w:hint="eastAsia" w:ascii="宋体" w:hAnsi="宋体" w:cs="宋体"/>
                <w:color w:val="000000"/>
                <w:sz w:val="24"/>
                <w:highlight w:val="none"/>
              </w:rPr>
              <w:t>交货、安装、</w:t>
            </w:r>
          </w:p>
          <w:p>
            <w:pPr>
              <w:spacing w:line="400" w:lineRule="exact"/>
              <w:ind w:firstLine="120" w:firstLineChars="50"/>
              <w:jc w:val="center"/>
              <w:rPr>
                <w:rFonts w:ascii="宋体" w:hAnsi="宋体" w:cs="宋体"/>
                <w:color w:val="auto"/>
                <w:sz w:val="24"/>
              </w:rPr>
            </w:pPr>
            <w:r>
              <w:rPr>
                <w:rFonts w:hint="eastAsia" w:ascii="宋体" w:hAnsi="宋体" w:cs="宋体"/>
                <w:color w:val="000000"/>
                <w:sz w:val="24"/>
                <w:highlight w:val="none"/>
              </w:rPr>
              <w:t>调试期</w:t>
            </w:r>
          </w:p>
        </w:tc>
        <w:tc>
          <w:tcPr>
            <w:tcW w:w="7507" w:type="dxa"/>
            <w:vAlign w:val="center"/>
          </w:tcPr>
          <w:p>
            <w:pPr>
              <w:spacing w:line="400" w:lineRule="exact"/>
              <w:rPr>
                <w:rFonts w:hint="default" w:ascii="宋体" w:hAnsi="宋体" w:cs="宋体"/>
                <w:color w:val="auto"/>
                <w:sz w:val="24"/>
                <w:lang w:val="en-US"/>
              </w:rPr>
            </w:pPr>
            <w:r>
              <w:rPr>
                <w:rFonts w:hint="eastAsia" w:hAnsi="宋体"/>
                <w:color w:val="auto"/>
                <w:szCs w:val="21"/>
                <w:highlight w:val="none"/>
              </w:rPr>
              <w:t>合同签字生效后</w:t>
            </w:r>
            <w:r>
              <w:rPr>
                <w:rFonts w:hint="eastAsia" w:hAnsi="宋体"/>
                <w:color w:val="auto"/>
                <w:szCs w:val="21"/>
                <w:highlight w:val="none"/>
                <w:u w:val="single"/>
              </w:rPr>
              <w:t xml:space="preserve">     </w:t>
            </w:r>
            <w:r>
              <w:rPr>
                <w:rFonts w:hint="eastAsia" w:hAnsi="宋体"/>
                <w:color w:val="auto"/>
                <w:szCs w:val="21"/>
                <w:highlight w:val="none"/>
                <w:u w:val="none"/>
                <w:lang w:val="en-US" w:eastAsia="zh-CN"/>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color w:val="auto"/>
                <w:sz w:val="24"/>
              </w:rPr>
            </w:pPr>
            <w:r>
              <w:rPr>
                <w:rFonts w:hint="eastAsia" w:ascii="宋体" w:hAnsi="宋体" w:cs="宋体"/>
                <w:color w:val="auto"/>
                <w:sz w:val="24"/>
              </w:rPr>
              <w:t>备注：</w:t>
            </w:r>
          </w:p>
          <w:p>
            <w:pPr>
              <w:spacing w:line="400" w:lineRule="exact"/>
              <w:rPr>
                <w:rFonts w:ascii="宋体" w:hAnsi="宋体" w:cs="宋体"/>
                <w:color w:val="auto"/>
                <w:sz w:val="24"/>
              </w:rPr>
            </w:pPr>
            <w:r>
              <w:rPr>
                <w:rFonts w:hint="eastAsia" w:ascii="宋体" w:hAnsi="宋体" w:cs="宋体"/>
                <w:color w:val="auto"/>
                <w:sz w:val="24"/>
              </w:rPr>
              <w:t>1、分项报价按总报价的同等比例下浮；</w:t>
            </w:r>
          </w:p>
          <w:p>
            <w:pPr>
              <w:spacing w:line="400" w:lineRule="exact"/>
              <w:rPr>
                <w:rFonts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5"/>
        <w:jc w:val="center"/>
        <w:rPr>
          <w:rFonts w:hint="eastAsia" w:hAnsi="宋体" w:eastAsia="宋体" w:cs="宋体"/>
          <w:color w:val="auto"/>
          <w:lang w:eastAsia="zh-CN"/>
        </w:rPr>
      </w:pPr>
      <w:bookmarkStart w:id="96" w:name="_Toc28153"/>
      <w:bookmarkStart w:id="97" w:name="_Toc54939204"/>
      <w:r>
        <w:rPr>
          <w:rFonts w:hint="eastAsia" w:hAnsi="宋体" w:cs="宋体"/>
          <w:color w:val="auto"/>
        </w:rPr>
        <w:t>三、</w:t>
      </w:r>
      <w:bookmarkEnd w:id="96"/>
      <w:bookmarkEnd w:id="97"/>
      <w:r>
        <w:rPr>
          <w:rFonts w:hint="eastAsia" w:hAnsi="宋体" w:cs="宋体"/>
          <w:color w:val="auto"/>
          <w:lang w:eastAsia="zh-CN"/>
        </w:rPr>
        <w:t>技术参数响应表</w:t>
      </w:r>
    </w:p>
    <w:p>
      <w:pPr>
        <w:spacing w:line="360" w:lineRule="auto"/>
        <w:rPr>
          <w:rFonts w:hint="eastAsia" w:ascii="宋体" w:hAnsi="宋体" w:eastAsia="宋体" w:cs="宋体"/>
          <w:b/>
          <w:color w:val="auto"/>
          <w:szCs w:val="21"/>
          <w:lang w:eastAsia="zh-CN"/>
        </w:rPr>
      </w:pPr>
      <w:r>
        <w:rPr>
          <w:rFonts w:hint="eastAsia" w:ascii="宋体" w:hAnsi="宋体" w:cs="宋体"/>
          <w:color w:val="auto"/>
          <w:szCs w:val="21"/>
        </w:rPr>
        <w:t xml:space="preserve">项目名称： </w:t>
      </w:r>
      <w:r>
        <w:rPr>
          <w:rFonts w:hint="eastAsia" w:ascii="宋体" w:hAnsi="宋体" w:cs="宋体"/>
          <w:color w:val="auto"/>
          <w:szCs w:val="21"/>
          <w:lang w:eastAsia="zh-CN"/>
        </w:rPr>
        <w:t>2021年安徽省职业院校技能大赛“移动应用开发”项目采购</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8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196"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184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谈判响应技术参数</w:t>
            </w:r>
          </w:p>
        </w:tc>
        <w:tc>
          <w:tcPr>
            <w:tcW w:w="155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响应情况</w:t>
            </w:r>
          </w:p>
        </w:tc>
        <w:tc>
          <w:tcPr>
            <w:tcW w:w="113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bl>
    <w:p>
      <w:pPr>
        <w:tabs>
          <w:tab w:val="left" w:pos="1815"/>
        </w:tabs>
        <w:spacing w:line="360" w:lineRule="auto"/>
        <w:rPr>
          <w:rFonts w:hint="eastAsia" w:ascii="宋体" w:hAnsi="宋体" w:cs="宋体"/>
          <w:b/>
          <w:color w:val="auto"/>
          <w:szCs w:val="21"/>
        </w:rPr>
      </w:pPr>
    </w:p>
    <w:p>
      <w:pPr>
        <w:tabs>
          <w:tab w:val="left" w:pos="1815"/>
        </w:tabs>
        <w:spacing w:line="360" w:lineRule="auto"/>
        <w:rPr>
          <w:rFonts w:ascii="宋体" w:hAnsi="宋体" w:cs="宋体"/>
          <w:color w:val="000000"/>
          <w:szCs w:val="21"/>
          <w:highlight w:val="none"/>
        </w:rPr>
      </w:pPr>
      <w:r>
        <w:rPr>
          <w:rFonts w:hint="eastAsia" w:ascii="宋体" w:hAnsi="宋体" w:cs="宋体"/>
          <w:b/>
          <w:color w:val="000000"/>
          <w:szCs w:val="21"/>
          <w:highlight w:val="none"/>
        </w:rPr>
        <w:t>注：</w:t>
      </w:r>
      <w:r>
        <w:rPr>
          <w:rFonts w:hint="eastAsia" w:ascii="宋体" w:hAnsi="宋体" w:cs="宋体"/>
          <w:color w:val="000000"/>
          <w:szCs w:val="21"/>
          <w:highlight w:val="none"/>
        </w:rPr>
        <w:t>1、谈判响应人必须将自己所投货物真实、准确地填入以上表格中。</w:t>
      </w:r>
    </w:p>
    <w:p>
      <w:pPr>
        <w:pStyle w:val="54"/>
        <w:numPr>
          <w:ilvl w:val="0"/>
          <w:numId w:val="0"/>
        </w:numPr>
        <w:tabs>
          <w:tab w:val="left" w:pos="1815"/>
        </w:tabs>
        <w:spacing w:line="360" w:lineRule="auto"/>
        <w:ind w:left="420" w:leftChars="0"/>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谈判响应人必须根据自己所投货物与“竞争性谈判技术参数”的差异情况，实事求是地填写“响应情况”（优于、满足、不满足） 。</w:t>
      </w:r>
    </w:p>
    <w:p>
      <w:pPr>
        <w:pStyle w:val="54"/>
        <w:tabs>
          <w:tab w:val="left" w:pos="1815"/>
        </w:tabs>
        <w:spacing w:line="360" w:lineRule="auto"/>
        <w:ind w:left="420" w:firstLine="0" w:firstLineChars="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Arial"/>
          <w:b/>
          <w:szCs w:val="21"/>
          <w:highlight w:val="none"/>
        </w:rPr>
        <w:t>若谈判响应人</w:t>
      </w:r>
      <w:r>
        <w:rPr>
          <w:rFonts w:hint="eastAsia" w:ascii="宋体" w:hAnsi="宋体"/>
          <w:b/>
          <w:bCs/>
          <w:szCs w:val="21"/>
          <w:highlight w:val="none"/>
        </w:rPr>
        <w:t>所投货物为进口产品的，必须在表中明确列出所投进口产品的原产地。</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5"/>
        <w:jc w:val="center"/>
        <w:rPr>
          <w:rFonts w:hAnsi="宋体" w:cs="宋体"/>
          <w:color w:val="000000"/>
          <w:highlight w:val="none"/>
          <w:bdr w:val="single" w:color="auto" w:sz="4" w:space="0"/>
        </w:rPr>
      </w:pPr>
      <w:bookmarkStart w:id="98" w:name="_Toc8668"/>
      <w:bookmarkStart w:id="99" w:name="_Toc54939205"/>
      <w:bookmarkStart w:id="100" w:name="_Toc2920"/>
      <w:r>
        <w:rPr>
          <w:rFonts w:hint="eastAsia" w:hAnsi="宋体" w:cs="宋体"/>
          <w:color w:val="auto"/>
        </w:rPr>
        <w:t>四、</w:t>
      </w:r>
      <w:bookmarkEnd w:id="98"/>
      <w:bookmarkEnd w:id="99"/>
      <w:bookmarkEnd w:id="100"/>
      <w:r>
        <w:rPr>
          <w:rFonts w:hint="eastAsia" w:hAnsi="宋体" w:cs="宋体"/>
          <w:color w:val="000000"/>
          <w:highlight w:val="none"/>
        </w:rPr>
        <w:t>供货及谈判响应技术方案</w:t>
      </w:r>
    </w:p>
    <w:p>
      <w:pPr>
        <w:spacing w:line="360" w:lineRule="auto"/>
        <w:rPr>
          <w:rFonts w:ascii="宋体" w:hAnsi="宋体" w:cs="宋体"/>
          <w:color w:val="auto"/>
          <w:szCs w:val="21"/>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谈判响应人依据第三章“货物需求及技术要求”自行提供。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1、人员培训方案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2、质量保证及售后服务承诺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3、谈判响应人认为需要提供的其他内容</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5"/>
        <w:jc w:val="center"/>
        <w:rPr>
          <w:rFonts w:hAnsi="宋体" w:cs="宋体"/>
          <w:color w:val="auto"/>
        </w:rPr>
      </w:pPr>
      <w:bookmarkStart w:id="101" w:name="_Toc25547"/>
      <w:bookmarkStart w:id="102" w:name="_Toc54939206"/>
      <w:r>
        <w:rPr>
          <w:rFonts w:hint="eastAsia" w:hAnsi="宋体" w:cs="宋体"/>
          <w:color w:val="auto"/>
        </w:rPr>
        <w:t>五、诚信谈判响应承诺书</w:t>
      </w:r>
      <w:bookmarkEnd w:id="101"/>
      <w:bookmarkEnd w:id="102"/>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w:t>
      </w:r>
      <w:r>
        <w:rPr>
          <w:rFonts w:hint="eastAsia" w:ascii="宋体" w:hAnsi="宋体" w:cs="宋体"/>
          <w:b/>
          <w:bCs/>
          <w:color w:val="auto"/>
          <w:szCs w:val="21"/>
          <w:u w:val="single"/>
        </w:rPr>
        <w:t xml:space="preserve">                </w:t>
      </w:r>
      <w:r>
        <w:rPr>
          <w:rFonts w:hint="eastAsia" w:ascii="宋体" w:hAnsi="宋体" w:cs="宋体"/>
          <w:b/>
          <w:bCs/>
          <w:color w:val="auto"/>
          <w:szCs w:val="21"/>
        </w:rPr>
        <w:t>项目的竞争性谈判活动；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jc w:val="right"/>
        <w:rPr>
          <w:rFonts w:ascii="宋体" w:hAnsi="宋体" w:cs="宋体"/>
          <w:b/>
          <w:bCs/>
          <w:color w:val="auto"/>
          <w:szCs w:val="21"/>
        </w:rPr>
      </w:pPr>
    </w:p>
    <w:p>
      <w:pPr>
        <w:spacing w:line="360" w:lineRule="auto"/>
        <w:ind w:firstLine="3479" w:firstLineChars="1650"/>
        <w:rPr>
          <w:rFonts w:ascii="宋体" w:hAnsi="宋体" w:cs="宋体"/>
          <w:b/>
          <w:bCs/>
          <w:color w:val="auto"/>
          <w:szCs w:val="21"/>
        </w:rPr>
      </w:pPr>
      <w:r>
        <w:rPr>
          <w:rFonts w:hint="eastAsia" w:ascii="宋体" w:hAnsi="宋体" w:cs="宋体"/>
          <w:b/>
          <w:bCs/>
          <w:color w:val="auto"/>
          <w:szCs w:val="21"/>
        </w:rPr>
        <w:t xml:space="preserve">     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103"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5"/>
        <w:jc w:val="center"/>
        <w:rPr>
          <w:rFonts w:hAnsi="宋体" w:cs="宋体"/>
          <w:color w:val="auto"/>
          <w:bdr w:val="single" w:color="auto" w:sz="4" w:space="0"/>
        </w:rPr>
      </w:pPr>
      <w:bookmarkStart w:id="104" w:name="_Toc54939209"/>
      <w:r>
        <w:rPr>
          <w:rFonts w:hint="eastAsia" w:hAnsi="宋体" w:cs="宋体"/>
          <w:color w:val="auto"/>
          <w:lang w:val="en-US" w:eastAsia="zh-CN"/>
        </w:rPr>
        <w:t>六</w:t>
      </w:r>
      <w:r>
        <w:rPr>
          <w:rFonts w:hint="eastAsia" w:hAnsi="宋体" w:cs="宋体"/>
          <w:color w:val="auto"/>
        </w:rPr>
        <w:t>、资格证明文件</w:t>
      </w:r>
      <w:bookmarkEnd w:id="103"/>
      <w:bookmarkEnd w:id="104"/>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4"/>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、履行合同所必需的设备专业技术能力证明文件</w:t>
      </w:r>
      <w:r>
        <w:rPr>
          <w:rFonts w:hint="eastAsia" w:ascii="宋体" w:hAnsi="宋体" w:cs="宋体"/>
          <w:color w:val="000000"/>
          <w:szCs w:val="21"/>
          <w:lang w:eastAsia="zh-CN"/>
        </w:rPr>
        <w:t>（</w:t>
      </w:r>
      <w:r>
        <w:rPr>
          <w:rFonts w:hint="eastAsia" w:ascii="宋体" w:hAnsi="宋体" w:cs="宋体"/>
          <w:color w:val="000000"/>
          <w:szCs w:val="21"/>
          <w:lang w:val="en-US" w:eastAsia="zh-CN"/>
        </w:rPr>
        <w:t>由谈判响应人根据项目情况决定是否填写</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rPr>
          <w:rFonts w:ascii="宋体" w:hAnsi="宋体" w:cs="宋体"/>
          <w:color w:val="auto"/>
          <w:szCs w:val="21"/>
        </w:rPr>
      </w:pPr>
      <w:r>
        <w:rPr>
          <w:rFonts w:hint="eastAsia" w:ascii="宋体" w:hAnsi="宋体" w:cs="宋体"/>
          <w:color w:val="auto"/>
          <w:szCs w:val="21"/>
        </w:rPr>
        <w:t>（1）服务于本项目的专业设备一览表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2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设备名称</w:t>
            </w:r>
          </w:p>
        </w:tc>
        <w:tc>
          <w:tcPr>
            <w:tcW w:w="14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购入时间</w:t>
            </w:r>
          </w:p>
        </w:tc>
        <w:tc>
          <w:tcPr>
            <w:tcW w:w="93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价值</w:t>
            </w:r>
          </w:p>
        </w:tc>
        <w:tc>
          <w:tcPr>
            <w:tcW w:w="87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tc>
        <w:tc>
          <w:tcPr>
            <w:tcW w:w="149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50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w:t>
            </w: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（2）服务本项目人员一览表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987"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名称</w:t>
            </w:r>
          </w:p>
        </w:tc>
        <w:tc>
          <w:tcPr>
            <w:tcW w:w="1974"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auto"/>
                <w:szCs w:val="21"/>
              </w:rPr>
            </w:pPr>
            <w:r>
              <w:rPr>
                <w:rFonts w:hint="eastAsia" w:ascii="宋体" w:hAnsi="宋体" w:cs="宋体"/>
                <w:color w:val="auto"/>
                <w:szCs w:val="21"/>
              </w:rPr>
              <w:t>其他</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bl>
    <w:p>
      <w:pPr>
        <w:numPr>
          <w:ilvl w:val="0"/>
          <w:numId w:val="0"/>
        </w:numPr>
        <w:spacing w:line="360" w:lineRule="auto"/>
        <w:ind w:firstLine="420" w:firstLineChars="200"/>
        <w:rPr>
          <w:rFonts w:hint="eastAsia" w:ascii="宋体" w:hAnsi="宋体" w:cs="宋体"/>
          <w:b w:val="0"/>
          <w:bCs/>
          <w:color w:val="auto"/>
          <w:kern w:val="0"/>
          <w:sz w:val="24"/>
          <w:szCs w:val="18"/>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本项目竞争性谈判文件中要求谈判响应人提供的其他资格条件证明材料。</w:t>
      </w:r>
    </w:p>
    <w:p>
      <w:pPr>
        <w:numPr>
          <w:ilvl w:val="0"/>
          <w:numId w:val="0"/>
        </w:numPr>
        <w:spacing w:line="360" w:lineRule="auto"/>
        <w:ind w:leftChars="200"/>
        <w:jc w:val="center"/>
        <w:rPr>
          <w:rFonts w:ascii="宋体" w:hAnsi="宋体" w:cs="宋体"/>
          <w:b/>
          <w:color w:val="auto"/>
          <w:kern w:val="0"/>
          <w:sz w:val="24"/>
          <w:szCs w:val="18"/>
        </w:rPr>
      </w:pPr>
      <w:r>
        <w:rPr>
          <w:rFonts w:hint="eastAsia" w:ascii="宋体" w:hAnsi="宋体" w:cs="宋体"/>
          <w:b w:val="0"/>
          <w:bCs/>
          <w:color w:val="auto"/>
          <w:kern w:val="0"/>
          <w:sz w:val="24"/>
          <w:szCs w:val="18"/>
          <w:lang w:val="en-US" w:eastAsia="zh-CN"/>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color w:val="auto"/>
          <w:kern w:val="0"/>
          <w:sz w:val="24"/>
          <w:szCs w:val="18"/>
          <w:lang w:val="en-US" w:eastAsia="zh-CN"/>
        </w:rPr>
        <w:t xml:space="preserve">                             </w:t>
      </w:r>
      <w:r>
        <w:rPr>
          <w:rFonts w:hint="eastAsia" w:ascii="宋体" w:hAnsi="宋体" w:cs="宋体"/>
          <w:b/>
          <w:color w:val="auto"/>
          <w:kern w:val="0"/>
          <w:sz w:val="24"/>
          <w:szCs w:val="18"/>
        </w:rPr>
        <w:t>声明</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cs="宋体"/>
          <w:color w:val="auto"/>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color w:val="auto"/>
          <w:szCs w:val="21"/>
        </w:rPr>
        <w:t>，包括：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rPr>
      </w:pP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谈判响应人名称（盖章）：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 xml:space="preserve">盖章）：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        年       月       日</w:t>
      </w:r>
    </w:p>
    <w:p>
      <w:pPr>
        <w:pStyle w:val="54"/>
        <w:numPr>
          <w:ilvl w:val="0"/>
          <w:numId w:val="0"/>
        </w:numPr>
        <w:spacing w:line="360" w:lineRule="auto"/>
        <w:ind w:left="420" w:leftChars="0"/>
        <w:rPr>
          <w:rFonts w:ascii="宋体" w:hAnsi="宋体"/>
          <w:b/>
          <w:szCs w:val="21"/>
        </w:rPr>
      </w:pPr>
      <w:r>
        <w:rPr>
          <w:rFonts w:hint="eastAsia" w:ascii="宋体" w:hAnsi="宋体" w:cs="宋体"/>
          <w:color w:val="auto"/>
          <w:szCs w:val="21"/>
          <w:lang w:val="en-US" w:eastAsia="zh-CN"/>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hint="eastAsia" w:ascii="宋体" w:hAnsi="宋体" w:eastAsia="宋体" w:cs="宋体"/>
          <w:color w:val="auto"/>
          <w:szCs w:val="21"/>
          <w:lang w:val="en-US" w:eastAsia="zh-CN"/>
        </w:rPr>
      </w:pP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8、一个完整年度（2019年或2020年）财务会计报表；</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如谈判响应人为新成立的供应商，请提供上一月度（或季度）财务会计报表</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本项目竞争性谈判文件中要求谈判响应人提供的其他资格条件证明材料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1"/>
        <w:snapToGrid w:val="0"/>
        <w:spacing w:line="360" w:lineRule="auto"/>
        <w:ind w:firstLine="480" w:firstLineChars="200"/>
        <w:jc w:val="left"/>
        <w:rPr>
          <w:rFonts w:hAnsi="宋体" w:eastAsia="宋体"/>
          <w:color w:val="auto"/>
          <w:sz w:val="24"/>
          <w:szCs w:val="28"/>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1"/>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1"/>
        <w:snapToGrid w:val="0"/>
        <w:spacing w:line="360" w:lineRule="auto"/>
        <w:ind w:firstLine="480" w:firstLineChars="200"/>
        <w:jc w:val="left"/>
        <w:rPr>
          <w:rFonts w:hAnsi="宋体" w:eastAsia="宋体"/>
          <w:color w:val="auto"/>
          <w:sz w:val="24"/>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1"/>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1"/>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39</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39</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rPr>
        <w:rFonts w:hint="eastAsia" w:eastAsia="宋体"/>
        <w:szCs w:val="21"/>
        <w:lang w:eastAsia="zh-CN"/>
      </w:rPr>
    </w:pPr>
    <w:r>
      <w:rPr>
        <w:rFonts w:hint="eastAsia"/>
        <w:szCs w:val="21"/>
      </w:rPr>
      <w:t xml:space="preserve">                    </w:t>
    </w:r>
    <w:r>
      <w:rPr>
        <w:rFonts w:hint="eastAsia"/>
        <w:szCs w:val="21"/>
        <w:lang w:val="en-US" w:eastAsia="zh-CN"/>
      </w:rPr>
      <w:t xml:space="preserve">                          </w:t>
    </w:r>
    <w:r>
      <w:rPr>
        <w:rFonts w:hint="eastAsia"/>
        <w:szCs w:val="21"/>
        <w:lang w:eastAsia="zh-CN"/>
      </w:rPr>
      <w:t>2021年安徽省职业院校技能大赛“移动应用开发”项目采购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7F031"/>
    <w:multiLevelType w:val="singleLevel"/>
    <w:tmpl w:val="21D7F031"/>
    <w:lvl w:ilvl="0" w:tentative="0">
      <w:start w:val="2"/>
      <w:numFmt w:val="decimal"/>
      <w:lvlText w:val="%1."/>
      <w:lvlJc w:val="left"/>
      <w:pPr>
        <w:tabs>
          <w:tab w:val="left" w:pos="312"/>
        </w:tabs>
      </w:pPr>
    </w:lvl>
  </w:abstractNum>
  <w:abstractNum w:abstractNumId="1">
    <w:nsid w:val="58D9DD69"/>
    <w:multiLevelType w:val="singleLevel"/>
    <w:tmpl w:val="58D9DD69"/>
    <w:lvl w:ilvl="0" w:tentative="0">
      <w:start w:val="3"/>
      <w:numFmt w:val="decimal"/>
      <w:suff w:val="nothing"/>
      <w:lvlText w:val="%1、"/>
      <w:lvlJc w:val="left"/>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95173"/>
    <w:rsid w:val="013037ED"/>
    <w:rsid w:val="018A44B4"/>
    <w:rsid w:val="01922DC9"/>
    <w:rsid w:val="019924DC"/>
    <w:rsid w:val="01BB72E8"/>
    <w:rsid w:val="021746DD"/>
    <w:rsid w:val="021A1EAD"/>
    <w:rsid w:val="02316790"/>
    <w:rsid w:val="023E4914"/>
    <w:rsid w:val="02606320"/>
    <w:rsid w:val="026F2CC5"/>
    <w:rsid w:val="02734C55"/>
    <w:rsid w:val="02D57437"/>
    <w:rsid w:val="02E9052A"/>
    <w:rsid w:val="02F06C0E"/>
    <w:rsid w:val="02F10E60"/>
    <w:rsid w:val="031778E3"/>
    <w:rsid w:val="03387229"/>
    <w:rsid w:val="03443A6F"/>
    <w:rsid w:val="035C5FD5"/>
    <w:rsid w:val="03724537"/>
    <w:rsid w:val="03851ED2"/>
    <w:rsid w:val="03A96165"/>
    <w:rsid w:val="03CA7EE4"/>
    <w:rsid w:val="03F44933"/>
    <w:rsid w:val="04043AA5"/>
    <w:rsid w:val="04165D84"/>
    <w:rsid w:val="04177769"/>
    <w:rsid w:val="041E7ACD"/>
    <w:rsid w:val="04201B8B"/>
    <w:rsid w:val="04245C53"/>
    <w:rsid w:val="04382BE0"/>
    <w:rsid w:val="043E7102"/>
    <w:rsid w:val="04514561"/>
    <w:rsid w:val="045E7194"/>
    <w:rsid w:val="0477350E"/>
    <w:rsid w:val="0477389A"/>
    <w:rsid w:val="04875DFF"/>
    <w:rsid w:val="048D42C4"/>
    <w:rsid w:val="0498643B"/>
    <w:rsid w:val="04A006E1"/>
    <w:rsid w:val="04CB32CC"/>
    <w:rsid w:val="04E50C1D"/>
    <w:rsid w:val="04FD4494"/>
    <w:rsid w:val="051A65C3"/>
    <w:rsid w:val="05244A1E"/>
    <w:rsid w:val="052E1C9F"/>
    <w:rsid w:val="052E7D0D"/>
    <w:rsid w:val="0531200C"/>
    <w:rsid w:val="053E109C"/>
    <w:rsid w:val="054C6411"/>
    <w:rsid w:val="05A14822"/>
    <w:rsid w:val="05BD1AA1"/>
    <w:rsid w:val="05E002BE"/>
    <w:rsid w:val="05E35B59"/>
    <w:rsid w:val="05F35EB0"/>
    <w:rsid w:val="061652FD"/>
    <w:rsid w:val="063B4D88"/>
    <w:rsid w:val="06481AD4"/>
    <w:rsid w:val="06521913"/>
    <w:rsid w:val="06567772"/>
    <w:rsid w:val="06805122"/>
    <w:rsid w:val="069353D8"/>
    <w:rsid w:val="06952ADA"/>
    <w:rsid w:val="06A85231"/>
    <w:rsid w:val="06C0258F"/>
    <w:rsid w:val="06DF7532"/>
    <w:rsid w:val="06F36A08"/>
    <w:rsid w:val="06F94826"/>
    <w:rsid w:val="06FB1E54"/>
    <w:rsid w:val="071B4038"/>
    <w:rsid w:val="073E450E"/>
    <w:rsid w:val="07422C6F"/>
    <w:rsid w:val="07632295"/>
    <w:rsid w:val="07655DB3"/>
    <w:rsid w:val="076E24E5"/>
    <w:rsid w:val="07AE4DBF"/>
    <w:rsid w:val="07AF4527"/>
    <w:rsid w:val="07DA0583"/>
    <w:rsid w:val="0838737A"/>
    <w:rsid w:val="08444D9F"/>
    <w:rsid w:val="08511F00"/>
    <w:rsid w:val="087A5C75"/>
    <w:rsid w:val="087F1843"/>
    <w:rsid w:val="088A4392"/>
    <w:rsid w:val="088A719E"/>
    <w:rsid w:val="089935B7"/>
    <w:rsid w:val="08AA4743"/>
    <w:rsid w:val="08D12404"/>
    <w:rsid w:val="08DA0D79"/>
    <w:rsid w:val="08FC28FA"/>
    <w:rsid w:val="0927319F"/>
    <w:rsid w:val="092B3141"/>
    <w:rsid w:val="097517AF"/>
    <w:rsid w:val="097A7948"/>
    <w:rsid w:val="09890446"/>
    <w:rsid w:val="098C68F8"/>
    <w:rsid w:val="09AC4724"/>
    <w:rsid w:val="09B87F24"/>
    <w:rsid w:val="09F95F96"/>
    <w:rsid w:val="09FA4F71"/>
    <w:rsid w:val="0A0334B3"/>
    <w:rsid w:val="0A0D26BB"/>
    <w:rsid w:val="0A3C1CA7"/>
    <w:rsid w:val="0A461924"/>
    <w:rsid w:val="0A4B61C6"/>
    <w:rsid w:val="0A6D3720"/>
    <w:rsid w:val="0A7F6EC9"/>
    <w:rsid w:val="0A901CC5"/>
    <w:rsid w:val="0ACE4FC1"/>
    <w:rsid w:val="0AD07978"/>
    <w:rsid w:val="0B072024"/>
    <w:rsid w:val="0B0914F5"/>
    <w:rsid w:val="0B110D86"/>
    <w:rsid w:val="0B1C5187"/>
    <w:rsid w:val="0B220186"/>
    <w:rsid w:val="0B2916C2"/>
    <w:rsid w:val="0B2A07B0"/>
    <w:rsid w:val="0B332287"/>
    <w:rsid w:val="0B736FD8"/>
    <w:rsid w:val="0B91761E"/>
    <w:rsid w:val="0B97165A"/>
    <w:rsid w:val="0BCA33E7"/>
    <w:rsid w:val="0BE77B0B"/>
    <w:rsid w:val="0C83295D"/>
    <w:rsid w:val="0C89471E"/>
    <w:rsid w:val="0C907A80"/>
    <w:rsid w:val="0CAE5CFF"/>
    <w:rsid w:val="0CEE671A"/>
    <w:rsid w:val="0D072DFE"/>
    <w:rsid w:val="0D1E19B5"/>
    <w:rsid w:val="0D2152D7"/>
    <w:rsid w:val="0D2231F4"/>
    <w:rsid w:val="0D3E4270"/>
    <w:rsid w:val="0D494161"/>
    <w:rsid w:val="0D4F57E4"/>
    <w:rsid w:val="0D632F8F"/>
    <w:rsid w:val="0D6669BD"/>
    <w:rsid w:val="0D835FCB"/>
    <w:rsid w:val="0DB94BD2"/>
    <w:rsid w:val="0DC64678"/>
    <w:rsid w:val="0DCB05AE"/>
    <w:rsid w:val="0DF70178"/>
    <w:rsid w:val="0DF94899"/>
    <w:rsid w:val="0DFA1324"/>
    <w:rsid w:val="0E260A50"/>
    <w:rsid w:val="0E32410D"/>
    <w:rsid w:val="0E487583"/>
    <w:rsid w:val="0E7539B1"/>
    <w:rsid w:val="0E9223D5"/>
    <w:rsid w:val="0EA86D69"/>
    <w:rsid w:val="0EB14180"/>
    <w:rsid w:val="0EBC4E69"/>
    <w:rsid w:val="0EDD408A"/>
    <w:rsid w:val="0EF64818"/>
    <w:rsid w:val="0EFB37A0"/>
    <w:rsid w:val="0F0346C9"/>
    <w:rsid w:val="0F137FA4"/>
    <w:rsid w:val="0F2B317B"/>
    <w:rsid w:val="0F3D389D"/>
    <w:rsid w:val="0F434292"/>
    <w:rsid w:val="0F8236D5"/>
    <w:rsid w:val="0FA65B55"/>
    <w:rsid w:val="0FC55235"/>
    <w:rsid w:val="0FCC5D84"/>
    <w:rsid w:val="0FD05E00"/>
    <w:rsid w:val="1009280B"/>
    <w:rsid w:val="100E134E"/>
    <w:rsid w:val="10264018"/>
    <w:rsid w:val="104A2CE1"/>
    <w:rsid w:val="1050087E"/>
    <w:rsid w:val="1058012D"/>
    <w:rsid w:val="107E4A72"/>
    <w:rsid w:val="10B2256F"/>
    <w:rsid w:val="10C1169C"/>
    <w:rsid w:val="10C17787"/>
    <w:rsid w:val="10C64A93"/>
    <w:rsid w:val="10DC68D5"/>
    <w:rsid w:val="111E14AD"/>
    <w:rsid w:val="112F2B2C"/>
    <w:rsid w:val="11355366"/>
    <w:rsid w:val="11803EC2"/>
    <w:rsid w:val="11970EE3"/>
    <w:rsid w:val="11A03675"/>
    <w:rsid w:val="11AC730F"/>
    <w:rsid w:val="11BC1C1F"/>
    <w:rsid w:val="11C735A4"/>
    <w:rsid w:val="11CF1EF1"/>
    <w:rsid w:val="11EA2CE5"/>
    <w:rsid w:val="11F12D1A"/>
    <w:rsid w:val="11F27F7D"/>
    <w:rsid w:val="121A40C0"/>
    <w:rsid w:val="12486B77"/>
    <w:rsid w:val="12633BA5"/>
    <w:rsid w:val="126D2AE8"/>
    <w:rsid w:val="12933A7D"/>
    <w:rsid w:val="12994AF8"/>
    <w:rsid w:val="12AE6B32"/>
    <w:rsid w:val="12C43EF0"/>
    <w:rsid w:val="12C4475B"/>
    <w:rsid w:val="12D6647C"/>
    <w:rsid w:val="12F70CDA"/>
    <w:rsid w:val="12F81468"/>
    <w:rsid w:val="132B46CB"/>
    <w:rsid w:val="1347382D"/>
    <w:rsid w:val="135421F8"/>
    <w:rsid w:val="135C0074"/>
    <w:rsid w:val="13616BDF"/>
    <w:rsid w:val="13753967"/>
    <w:rsid w:val="13A1080A"/>
    <w:rsid w:val="13DF2D80"/>
    <w:rsid w:val="13EB17D3"/>
    <w:rsid w:val="13FF717E"/>
    <w:rsid w:val="140C3B2C"/>
    <w:rsid w:val="142A4E08"/>
    <w:rsid w:val="145C6A1A"/>
    <w:rsid w:val="145E59DA"/>
    <w:rsid w:val="146B3973"/>
    <w:rsid w:val="14825EAC"/>
    <w:rsid w:val="14BB77D1"/>
    <w:rsid w:val="14D457B8"/>
    <w:rsid w:val="14D8207C"/>
    <w:rsid w:val="14DA386A"/>
    <w:rsid w:val="14E42898"/>
    <w:rsid w:val="14F224D3"/>
    <w:rsid w:val="14FF6569"/>
    <w:rsid w:val="15073605"/>
    <w:rsid w:val="1516320B"/>
    <w:rsid w:val="152A4236"/>
    <w:rsid w:val="155807CF"/>
    <w:rsid w:val="15786FC5"/>
    <w:rsid w:val="158546EC"/>
    <w:rsid w:val="15AD0AE5"/>
    <w:rsid w:val="15D34B8E"/>
    <w:rsid w:val="15E611B3"/>
    <w:rsid w:val="15FA4347"/>
    <w:rsid w:val="16135F43"/>
    <w:rsid w:val="162701DA"/>
    <w:rsid w:val="162B22EC"/>
    <w:rsid w:val="16484942"/>
    <w:rsid w:val="164C31F0"/>
    <w:rsid w:val="164D4538"/>
    <w:rsid w:val="166923F3"/>
    <w:rsid w:val="1669259D"/>
    <w:rsid w:val="16AA643D"/>
    <w:rsid w:val="16AF3B22"/>
    <w:rsid w:val="16C16894"/>
    <w:rsid w:val="16E33E89"/>
    <w:rsid w:val="16E62698"/>
    <w:rsid w:val="170161F1"/>
    <w:rsid w:val="170B2AE0"/>
    <w:rsid w:val="170C2076"/>
    <w:rsid w:val="171347E8"/>
    <w:rsid w:val="171F0553"/>
    <w:rsid w:val="17412D20"/>
    <w:rsid w:val="175D3651"/>
    <w:rsid w:val="17656EC7"/>
    <w:rsid w:val="17865E6F"/>
    <w:rsid w:val="178B2FCA"/>
    <w:rsid w:val="17AB12FD"/>
    <w:rsid w:val="17B54142"/>
    <w:rsid w:val="17D73777"/>
    <w:rsid w:val="17E12977"/>
    <w:rsid w:val="17E16748"/>
    <w:rsid w:val="17E64412"/>
    <w:rsid w:val="18143BF3"/>
    <w:rsid w:val="181F3E0B"/>
    <w:rsid w:val="183A16EE"/>
    <w:rsid w:val="184834A6"/>
    <w:rsid w:val="185C0EDF"/>
    <w:rsid w:val="187D7569"/>
    <w:rsid w:val="188859CE"/>
    <w:rsid w:val="189F55F4"/>
    <w:rsid w:val="18A75C99"/>
    <w:rsid w:val="18B20FCE"/>
    <w:rsid w:val="18C32252"/>
    <w:rsid w:val="18F273A6"/>
    <w:rsid w:val="192A68C8"/>
    <w:rsid w:val="19344358"/>
    <w:rsid w:val="19360119"/>
    <w:rsid w:val="19486FB2"/>
    <w:rsid w:val="19555DF8"/>
    <w:rsid w:val="195619E7"/>
    <w:rsid w:val="196E49C7"/>
    <w:rsid w:val="198769FC"/>
    <w:rsid w:val="199475C6"/>
    <w:rsid w:val="19963360"/>
    <w:rsid w:val="199F5019"/>
    <w:rsid w:val="19D51CA0"/>
    <w:rsid w:val="19DF13F6"/>
    <w:rsid w:val="19EB2002"/>
    <w:rsid w:val="1A390864"/>
    <w:rsid w:val="1A6A324A"/>
    <w:rsid w:val="1AC77936"/>
    <w:rsid w:val="1ACA7F54"/>
    <w:rsid w:val="1AEC4961"/>
    <w:rsid w:val="1B06535A"/>
    <w:rsid w:val="1B181533"/>
    <w:rsid w:val="1B7E2B45"/>
    <w:rsid w:val="1BA7556B"/>
    <w:rsid w:val="1BBF252C"/>
    <w:rsid w:val="1BDE1760"/>
    <w:rsid w:val="1BF1026B"/>
    <w:rsid w:val="1C2551E1"/>
    <w:rsid w:val="1C4B349A"/>
    <w:rsid w:val="1C5E38E2"/>
    <w:rsid w:val="1C6379F6"/>
    <w:rsid w:val="1C656F34"/>
    <w:rsid w:val="1C7D059D"/>
    <w:rsid w:val="1C946602"/>
    <w:rsid w:val="1CA232AC"/>
    <w:rsid w:val="1CAA1DEE"/>
    <w:rsid w:val="1CCA7376"/>
    <w:rsid w:val="1CDA731B"/>
    <w:rsid w:val="1D074EC5"/>
    <w:rsid w:val="1D0B7287"/>
    <w:rsid w:val="1D0E5817"/>
    <w:rsid w:val="1D153E51"/>
    <w:rsid w:val="1D2826AC"/>
    <w:rsid w:val="1DA03128"/>
    <w:rsid w:val="1DA05131"/>
    <w:rsid w:val="1DB25B96"/>
    <w:rsid w:val="1DBB3B9F"/>
    <w:rsid w:val="1DC52A30"/>
    <w:rsid w:val="1DC65517"/>
    <w:rsid w:val="1DD66520"/>
    <w:rsid w:val="1DE870A5"/>
    <w:rsid w:val="1DED5C0B"/>
    <w:rsid w:val="1E16127D"/>
    <w:rsid w:val="1E2A33E0"/>
    <w:rsid w:val="1E465BA2"/>
    <w:rsid w:val="1E5E47E0"/>
    <w:rsid w:val="1E65548D"/>
    <w:rsid w:val="1E6A5CCC"/>
    <w:rsid w:val="1E815AFF"/>
    <w:rsid w:val="1E84689A"/>
    <w:rsid w:val="1E9F3A7D"/>
    <w:rsid w:val="1EDB1A9C"/>
    <w:rsid w:val="1F004046"/>
    <w:rsid w:val="1F0F5251"/>
    <w:rsid w:val="1F1555E0"/>
    <w:rsid w:val="1F2E7427"/>
    <w:rsid w:val="1F5472F6"/>
    <w:rsid w:val="1F5662B7"/>
    <w:rsid w:val="1F663A3C"/>
    <w:rsid w:val="1F6E7EA0"/>
    <w:rsid w:val="1F805BBC"/>
    <w:rsid w:val="1FA83428"/>
    <w:rsid w:val="1FA91EA6"/>
    <w:rsid w:val="1FDF274B"/>
    <w:rsid w:val="1FE73C5F"/>
    <w:rsid w:val="1FF877BF"/>
    <w:rsid w:val="202915A2"/>
    <w:rsid w:val="20374586"/>
    <w:rsid w:val="2038536A"/>
    <w:rsid w:val="204539A1"/>
    <w:rsid w:val="205D2600"/>
    <w:rsid w:val="206E486C"/>
    <w:rsid w:val="207019F5"/>
    <w:rsid w:val="20806241"/>
    <w:rsid w:val="208D6C00"/>
    <w:rsid w:val="20B030F9"/>
    <w:rsid w:val="20DD7A52"/>
    <w:rsid w:val="20EC75B1"/>
    <w:rsid w:val="21087874"/>
    <w:rsid w:val="21346507"/>
    <w:rsid w:val="213C7062"/>
    <w:rsid w:val="21435719"/>
    <w:rsid w:val="21457AA6"/>
    <w:rsid w:val="2156270A"/>
    <w:rsid w:val="215B1406"/>
    <w:rsid w:val="2184057F"/>
    <w:rsid w:val="219C4AB4"/>
    <w:rsid w:val="21B76AE0"/>
    <w:rsid w:val="21C24E53"/>
    <w:rsid w:val="21F63830"/>
    <w:rsid w:val="221A760B"/>
    <w:rsid w:val="223C008F"/>
    <w:rsid w:val="22472B4C"/>
    <w:rsid w:val="2253597B"/>
    <w:rsid w:val="22643497"/>
    <w:rsid w:val="22794F14"/>
    <w:rsid w:val="227F77DE"/>
    <w:rsid w:val="229442B5"/>
    <w:rsid w:val="22C67959"/>
    <w:rsid w:val="22E406C3"/>
    <w:rsid w:val="22FB0688"/>
    <w:rsid w:val="230828C0"/>
    <w:rsid w:val="231C0C23"/>
    <w:rsid w:val="232063A6"/>
    <w:rsid w:val="23635693"/>
    <w:rsid w:val="239F4B3B"/>
    <w:rsid w:val="23B76FD3"/>
    <w:rsid w:val="23B97AB4"/>
    <w:rsid w:val="23C44AC9"/>
    <w:rsid w:val="23ED7ADD"/>
    <w:rsid w:val="23EE669F"/>
    <w:rsid w:val="23FA536A"/>
    <w:rsid w:val="240C6AFA"/>
    <w:rsid w:val="24424187"/>
    <w:rsid w:val="2448342E"/>
    <w:rsid w:val="244B7F91"/>
    <w:rsid w:val="245C48D7"/>
    <w:rsid w:val="246E108F"/>
    <w:rsid w:val="2487230D"/>
    <w:rsid w:val="248A20F3"/>
    <w:rsid w:val="24A249FE"/>
    <w:rsid w:val="24AA3C8A"/>
    <w:rsid w:val="24BB2ACC"/>
    <w:rsid w:val="24DE204A"/>
    <w:rsid w:val="24E21F78"/>
    <w:rsid w:val="24E3226F"/>
    <w:rsid w:val="24F37B94"/>
    <w:rsid w:val="25066EF6"/>
    <w:rsid w:val="2518296A"/>
    <w:rsid w:val="253F4C3B"/>
    <w:rsid w:val="25AE54D9"/>
    <w:rsid w:val="25B174DB"/>
    <w:rsid w:val="25B52531"/>
    <w:rsid w:val="25BA112C"/>
    <w:rsid w:val="25CE2471"/>
    <w:rsid w:val="25D976AC"/>
    <w:rsid w:val="26066D6F"/>
    <w:rsid w:val="26110C1D"/>
    <w:rsid w:val="26235A5B"/>
    <w:rsid w:val="26276106"/>
    <w:rsid w:val="262E24B2"/>
    <w:rsid w:val="26360E5B"/>
    <w:rsid w:val="268B284C"/>
    <w:rsid w:val="26935619"/>
    <w:rsid w:val="26A26BEE"/>
    <w:rsid w:val="26C7367F"/>
    <w:rsid w:val="26CC34C5"/>
    <w:rsid w:val="26CD70F0"/>
    <w:rsid w:val="26E97493"/>
    <w:rsid w:val="26FE1742"/>
    <w:rsid w:val="26FF1B22"/>
    <w:rsid w:val="2701248A"/>
    <w:rsid w:val="27015D0E"/>
    <w:rsid w:val="272B4880"/>
    <w:rsid w:val="2745366C"/>
    <w:rsid w:val="27476969"/>
    <w:rsid w:val="274F6261"/>
    <w:rsid w:val="277A093D"/>
    <w:rsid w:val="27800637"/>
    <w:rsid w:val="278241BD"/>
    <w:rsid w:val="27971706"/>
    <w:rsid w:val="279767AD"/>
    <w:rsid w:val="27B365ED"/>
    <w:rsid w:val="280755BB"/>
    <w:rsid w:val="284C2668"/>
    <w:rsid w:val="284F3E95"/>
    <w:rsid w:val="286012E2"/>
    <w:rsid w:val="286D29E1"/>
    <w:rsid w:val="288714FD"/>
    <w:rsid w:val="28902E8A"/>
    <w:rsid w:val="28C90B09"/>
    <w:rsid w:val="28CC3AA7"/>
    <w:rsid w:val="28CF34CF"/>
    <w:rsid w:val="28E656E0"/>
    <w:rsid w:val="28EA436C"/>
    <w:rsid w:val="29215BA4"/>
    <w:rsid w:val="292F41B4"/>
    <w:rsid w:val="29660000"/>
    <w:rsid w:val="298174D0"/>
    <w:rsid w:val="298A5CBE"/>
    <w:rsid w:val="29A65A1D"/>
    <w:rsid w:val="29AB58E8"/>
    <w:rsid w:val="29AF38AF"/>
    <w:rsid w:val="29B4634A"/>
    <w:rsid w:val="29CE0EB8"/>
    <w:rsid w:val="29EA6C76"/>
    <w:rsid w:val="29F10992"/>
    <w:rsid w:val="29F1685F"/>
    <w:rsid w:val="29FA3D4D"/>
    <w:rsid w:val="2A035FF2"/>
    <w:rsid w:val="2A065716"/>
    <w:rsid w:val="2A2E1289"/>
    <w:rsid w:val="2A5607F7"/>
    <w:rsid w:val="2A5C6821"/>
    <w:rsid w:val="2A8229CD"/>
    <w:rsid w:val="2A8453B1"/>
    <w:rsid w:val="2A863051"/>
    <w:rsid w:val="2A9920D3"/>
    <w:rsid w:val="2AA56CCB"/>
    <w:rsid w:val="2AC6139B"/>
    <w:rsid w:val="2ADD5BBA"/>
    <w:rsid w:val="2AE37315"/>
    <w:rsid w:val="2B2016DF"/>
    <w:rsid w:val="2B2412CD"/>
    <w:rsid w:val="2B2433DD"/>
    <w:rsid w:val="2B2855EF"/>
    <w:rsid w:val="2B385AC2"/>
    <w:rsid w:val="2B400144"/>
    <w:rsid w:val="2B490619"/>
    <w:rsid w:val="2B7045BE"/>
    <w:rsid w:val="2B9D7C99"/>
    <w:rsid w:val="2BA90F52"/>
    <w:rsid w:val="2BAB53B1"/>
    <w:rsid w:val="2BB51544"/>
    <w:rsid w:val="2BC346BE"/>
    <w:rsid w:val="2BE16598"/>
    <w:rsid w:val="2BF269A7"/>
    <w:rsid w:val="2C1C696A"/>
    <w:rsid w:val="2C237808"/>
    <w:rsid w:val="2C263268"/>
    <w:rsid w:val="2C457AB2"/>
    <w:rsid w:val="2C5174E0"/>
    <w:rsid w:val="2C5618F8"/>
    <w:rsid w:val="2C5F33AB"/>
    <w:rsid w:val="2C6A365C"/>
    <w:rsid w:val="2C877A43"/>
    <w:rsid w:val="2C8F59B2"/>
    <w:rsid w:val="2CA86A04"/>
    <w:rsid w:val="2CE22AB5"/>
    <w:rsid w:val="2D050326"/>
    <w:rsid w:val="2D12324F"/>
    <w:rsid w:val="2D2E767E"/>
    <w:rsid w:val="2D320D1B"/>
    <w:rsid w:val="2D347FF2"/>
    <w:rsid w:val="2D4D44F0"/>
    <w:rsid w:val="2D5E00FB"/>
    <w:rsid w:val="2D64582C"/>
    <w:rsid w:val="2D845825"/>
    <w:rsid w:val="2D9A7120"/>
    <w:rsid w:val="2DC50F24"/>
    <w:rsid w:val="2DE435D2"/>
    <w:rsid w:val="2DF36570"/>
    <w:rsid w:val="2E010A58"/>
    <w:rsid w:val="2E0532BC"/>
    <w:rsid w:val="2E235B1A"/>
    <w:rsid w:val="2E2D4D5E"/>
    <w:rsid w:val="2E3512B9"/>
    <w:rsid w:val="2E3A7CE1"/>
    <w:rsid w:val="2E5E27D5"/>
    <w:rsid w:val="2E8C2848"/>
    <w:rsid w:val="2ECC4C86"/>
    <w:rsid w:val="2ECF2A5B"/>
    <w:rsid w:val="2F185165"/>
    <w:rsid w:val="2F285E80"/>
    <w:rsid w:val="2F2D101C"/>
    <w:rsid w:val="2F2D4173"/>
    <w:rsid w:val="2F2E5DF2"/>
    <w:rsid w:val="2F323DD8"/>
    <w:rsid w:val="2F3C308F"/>
    <w:rsid w:val="2F3D0D32"/>
    <w:rsid w:val="2F4879FF"/>
    <w:rsid w:val="2F643906"/>
    <w:rsid w:val="2F795989"/>
    <w:rsid w:val="2F8278DB"/>
    <w:rsid w:val="2F9C7A54"/>
    <w:rsid w:val="2F9D6043"/>
    <w:rsid w:val="2FC04163"/>
    <w:rsid w:val="2FCC3FBC"/>
    <w:rsid w:val="2FD71C09"/>
    <w:rsid w:val="2FE13372"/>
    <w:rsid w:val="2FF21B3B"/>
    <w:rsid w:val="3006129D"/>
    <w:rsid w:val="303965FE"/>
    <w:rsid w:val="304246CC"/>
    <w:rsid w:val="30494AE2"/>
    <w:rsid w:val="30B5333E"/>
    <w:rsid w:val="30DC639E"/>
    <w:rsid w:val="30F90549"/>
    <w:rsid w:val="313C614E"/>
    <w:rsid w:val="31505DAD"/>
    <w:rsid w:val="31532F2D"/>
    <w:rsid w:val="31624461"/>
    <w:rsid w:val="31796188"/>
    <w:rsid w:val="318320A8"/>
    <w:rsid w:val="31A40879"/>
    <w:rsid w:val="31C1309B"/>
    <w:rsid w:val="31CD7106"/>
    <w:rsid w:val="31F57EDC"/>
    <w:rsid w:val="320C1BA8"/>
    <w:rsid w:val="323E6AE2"/>
    <w:rsid w:val="326D37D4"/>
    <w:rsid w:val="32821075"/>
    <w:rsid w:val="32AA5A6C"/>
    <w:rsid w:val="32B56792"/>
    <w:rsid w:val="32BC30EA"/>
    <w:rsid w:val="32C51192"/>
    <w:rsid w:val="32CD43F3"/>
    <w:rsid w:val="32EE7C35"/>
    <w:rsid w:val="330E11CE"/>
    <w:rsid w:val="332848FF"/>
    <w:rsid w:val="334932BF"/>
    <w:rsid w:val="339E01F6"/>
    <w:rsid w:val="33B33591"/>
    <w:rsid w:val="33C14228"/>
    <w:rsid w:val="33C40DAF"/>
    <w:rsid w:val="33CB50F6"/>
    <w:rsid w:val="33E742D8"/>
    <w:rsid w:val="33EA5773"/>
    <w:rsid w:val="34156596"/>
    <w:rsid w:val="341579FF"/>
    <w:rsid w:val="34356D52"/>
    <w:rsid w:val="343B1E3D"/>
    <w:rsid w:val="34601EF9"/>
    <w:rsid w:val="347B2C27"/>
    <w:rsid w:val="3480762C"/>
    <w:rsid w:val="348F7EBE"/>
    <w:rsid w:val="34B563E2"/>
    <w:rsid w:val="34BA47F2"/>
    <w:rsid w:val="34C71782"/>
    <w:rsid w:val="34CA2810"/>
    <w:rsid w:val="34CB7EBB"/>
    <w:rsid w:val="34F73875"/>
    <w:rsid w:val="35033E04"/>
    <w:rsid w:val="350A1874"/>
    <w:rsid w:val="350A2FE5"/>
    <w:rsid w:val="350C4714"/>
    <w:rsid w:val="351A087B"/>
    <w:rsid w:val="35270B41"/>
    <w:rsid w:val="353323D5"/>
    <w:rsid w:val="35552B7F"/>
    <w:rsid w:val="357915CD"/>
    <w:rsid w:val="35925C72"/>
    <w:rsid w:val="35973F2D"/>
    <w:rsid w:val="35BF2FEA"/>
    <w:rsid w:val="35C26DEE"/>
    <w:rsid w:val="35F568F4"/>
    <w:rsid w:val="35FB1D74"/>
    <w:rsid w:val="360F267E"/>
    <w:rsid w:val="3617681A"/>
    <w:rsid w:val="365A50BB"/>
    <w:rsid w:val="366876D8"/>
    <w:rsid w:val="366A7A1A"/>
    <w:rsid w:val="366E68DA"/>
    <w:rsid w:val="36881F0D"/>
    <w:rsid w:val="36A2407F"/>
    <w:rsid w:val="36A62646"/>
    <w:rsid w:val="36B43748"/>
    <w:rsid w:val="36C41867"/>
    <w:rsid w:val="36CC24F7"/>
    <w:rsid w:val="36DC1879"/>
    <w:rsid w:val="370E4C3C"/>
    <w:rsid w:val="372D5DB7"/>
    <w:rsid w:val="373C3CC0"/>
    <w:rsid w:val="375436D4"/>
    <w:rsid w:val="37545502"/>
    <w:rsid w:val="376C4869"/>
    <w:rsid w:val="37855348"/>
    <w:rsid w:val="378927E1"/>
    <w:rsid w:val="37961987"/>
    <w:rsid w:val="37D4606B"/>
    <w:rsid w:val="37FA4F3B"/>
    <w:rsid w:val="3815337F"/>
    <w:rsid w:val="381F5E35"/>
    <w:rsid w:val="383813C8"/>
    <w:rsid w:val="385244BD"/>
    <w:rsid w:val="38623892"/>
    <w:rsid w:val="38650C3E"/>
    <w:rsid w:val="388809BB"/>
    <w:rsid w:val="388A07DC"/>
    <w:rsid w:val="38C1223C"/>
    <w:rsid w:val="38D23B1E"/>
    <w:rsid w:val="38D32E50"/>
    <w:rsid w:val="38DF4349"/>
    <w:rsid w:val="38E431AE"/>
    <w:rsid w:val="38E96309"/>
    <w:rsid w:val="38F57B5C"/>
    <w:rsid w:val="38FD069B"/>
    <w:rsid w:val="38FD2469"/>
    <w:rsid w:val="39173D9A"/>
    <w:rsid w:val="391908C8"/>
    <w:rsid w:val="39334744"/>
    <w:rsid w:val="39347ECD"/>
    <w:rsid w:val="393F256E"/>
    <w:rsid w:val="3948026B"/>
    <w:rsid w:val="3956604D"/>
    <w:rsid w:val="3958421A"/>
    <w:rsid w:val="39641092"/>
    <w:rsid w:val="39A1679C"/>
    <w:rsid w:val="39C4144C"/>
    <w:rsid w:val="39F12A70"/>
    <w:rsid w:val="3A132F16"/>
    <w:rsid w:val="3A1B3237"/>
    <w:rsid w:val="3A22168F"/>
    <w:rsid w:val="3A852CE4"/>
    <w:rsid w:val="3A8F4331"/>
    <w:rsid w:val="3A93517E"/>
    <w:rsid w:val="3AA20C1F"/>
    <w:rsid w:val="3AEF12C8"/>
    <w:rsid w:val="3B42434C"/>
    <w:rsid w:val="3B8E4A09"/>
    <w:rsid w:val="3BAC6896"/>
    <w:rsid w:val="3BCA17D2"/>
    <w:rsid w:val="3BD07133"/>
    <w:rsid w:val="3BE55A8F"/>
    <w:rsid w:val="3BF44C1A"/>
    <w:rsid w:val="3C030505"/>
    <w:rsid w:val="3C0556F7"/>
    <w:rsid w:val="3C197648"/>
    <w:rsid w:val="3C1C39B6"/>
    <w:rsid w:val="3C34574B"/>
    <w:rsid w:val="3C3B492E"/>
    <w:rsid w:val="3C580049"/>
    <w:rsid w:val="3C5A2D1C"/>
    <w:rsid w:val="3C6A5D40"/>
    <w:rsid w:val="3C6B06D9"/>
    <w:rsid w:val="3C7941AB"/>
    <w:rsid w:val="3C845F7F"/>
    <w:rsid w:val="3CA320DF"/>
    <w:rsid w:val="3CAD36F9"/>
    <w:rsid w:val="3CAE366A"/>
    <w:rsid w:val="3CB37024"/>
    <w:rsid w:val="3CCE6D65"/>
    <w:rsid w:val="3CD66A6C"/>
    <w:rsid w:val="3CD8386C"/>
    <w:rsid w:val="3CE47750"/>
    <w:rsid w:val="3CF159F1"/>
    <w:rsid w:val="3D057F7D"/>
    <w:rsid w:val="3D0976C4"/>
    <w:rsid w:val="3D273C63"/>
    <w:rsid w:val="3D4752E9"/>
    <w:rsid w:val="3D7E34D1"/>
    <w:rsid w:val="3D86314C"/>
    <w:rsid w:val="3D8C258A"/>
    <w:rsid w:val="3DA7157D"/>
    <w:rsid w:val="3DC75D75"/>
    <w:rsid w:val="3DE83C0E"/>
    <w:rsid w:val="3DEC3000"/>
    <w:rsid w:val="3DED1264"/>
    <w:rsid w:val="3DEE70ED"/>
    <w:rsid w:val="3DF57A61"/>
    <w:rsid w:val="3E0347A6"/>
    <w:rsid w:val="3E301932"/>
    <w:rsid w:val="3E37139E"/>
    <w:rsid w:val="3E386E20"/>
    <w:rsid w:val="3E3E18DD"/>
    <w:rsid w:val="3E403714"/>
    <w:rsid w:val="3E5C5F16"/>
    <w:rsid w:val="3E7811DF"/>
    <w:rsid w:val="3E7E6A1E"/>
    <w:rsid w:val="3E820C3B"/>
    <w:rsid w:val="3EBC691E"/>
    <w:rsid w:val="3EC81074"/>
    <w:rsid w:val="3ECE2706"/>
    <w:rsid w:val="3EF21A56"/>
    <w:rsid w:val="3F3527DB"/>
    <w:rsid w:val="3F364787"/>
    <w:rsid w:val="3F610CAF"/>
    <w:rsid w:val="3F6312C4"/>
    <w:rsid w:val="3F92191C"/>
    <w:rsid w:val="3F9815AC"/>
    <w:rsid w:val="3FBA3CFE"/>
    <w:rsid w:val="3FCD2F32"/>
    <w:rsid w:val="3FE4290B"/>
    <w:rsid w:val="40130954"/>
    <w:rsid w:val="402F14D9"/>
    <w:rsid w:val="4042437C"/>
    <w:rsid w:val="40437225"/>
    <w:rsid w:val="40666255"/>
    <w:rsid w:val="40852B71"/>
    <w:rsid w:val="40A4504A"/>
    <w:rsid w:val="40A56A55"/>
    <w:rsid w:val="40D04F96"/>
    <w:rsid w:val="40D25774"/>
    <w:rsid w:val="40FA6177"/>
    <w:rsid w:val="41232AC2"/>
    <w:rsid w:val="412D4371"/>
    <w:rsid w:val="412F650A"/>
    <w:rsid w:val="4154383A"/>
    <w:rsid w:val="415826D8"/>
    <w:rsid w:val="416A77B2"/>
    <w:rsid w:val="4176596F"/>
    <w:rsid w:val="417B2704"/>
    <w:rsid w:val="41BD4938"/>
    <w:rsid w:val="41C97DFF"/>
    <w:rsid w:val="42092064"/>
    <w:rsid w:val="425056D7"/>
    <w:rsid w:val="426B7473"/>
    <w:rsid w:val="427E562E"/>
    <w:rsid w:val="428075BF"/>
    <w:rsid w:val="428B1B6D"/>
    <w:rsid w:val="428F5C09"/>
    <w:rsid w:val="42C22B34"/>
    <w:rsid w:val="42C269D8"/>
    <w:rsid w:val="42C433F4"/>
    <w:rsid w:val="42E6571C"/>
    <w:rsid w:val="42F36A35"/>
    <w:rsid w:val="42F624A6"/>
    <w:rsid w:val="43124F15"/>
    <w:rsid w:val="43132F50"/>
    <w:rsid w:val="43297F3D"/>
    <w:rsid w:val="434C069A"/>
    <w:rsid w:val="43707565"/>
    <w:rsid w:val="43814E59"/>
    <w:rsid w:val="43BF2F1D"/>
    <w:rsid w:val="43CC24F9"/>
    <w:rsid w:val="43D60296"/>
    <w:rsid w:val="43DA723D"/>
    <w:rsid w:val="43EA6CA9"/>
    <w:rsid w:val="4412373D"/>
    <w:rsid w:val="441C40BA"/>
    <w:rsid w:val="44846EF4"/>
    <w:rsid w:val="448B20BD"/>
    <w:rsid w:val="449667D9"/>
    <w:rsid w:val="44BB0670"/>
    <w:rsid w:val="44D00889"/>
    <w:rsid w:val="44DB3186"/>
    <w:rsid w:val="44F11AA7"/>
    <w:rsid w:val="453146CD"/>
    <w:rsid w:val="45535650"/>
    <w:rsid w:val="455A36D4"/>
    <w:rsid w:val="45642733"/>
    <w:rsid w:val="456854C1"/>
    <w:rsid w:val="456D1461"/>
    <w:rsid w:val="45851C29"/>
    <w:rsid w:val="45880124"/>
    <w:rsid w:val="45FB5915"/>
    <w:rsid w:val="461D2D9C"/>
    <w:rsid w:val="462875A5"/>
    <w:rsid w:val="462E6C0B"/>
    <w:rsid w:val="468E2831"/>
    <w:rsid w:val="469E676A"/>
    <w:rsid w:val="46A401F3"/>
    <w:rsid w:val="46D21E0D"/>
    <w:rsid w:val="470044F7"/>
    <w:rsid w:val="4702235F"/>
    <w:rsid w:val="47074A07"/>
    <w:rsid w:val="47077F50"/>
    <w:rsid w:val="4750237F"/>
    <w:rsid w:val="475A0EB2"/>
    <w:rsid w:val="475B3E56"/>
    <w:rsid w:val="475E4BEA"/>
    <w:rsid w:val="47766E62"/>
    <w:rsid w:val="479E21BE"/>
    <w:rsid w:val="47A32293"/>
    <w:rsid w:val="47AB5258"/>
    <w:rsid w:val="47B25FFC"/>
    <w:rsid w:val="47CB5980"/>
    <w:rsid w:val="47E7569B"/>
    <w:rsid w:val="47F14B7F"/>
    <w:rsid w:val="48145B11"/>
    <w:rsid w:val="48541AB4"/>
    <w:rsid w:val="488739F0"/>
    <w:rsid w:val="489D3FD7"/>
    <w:rsid w:val="48AF30F8"/>
    <w:rsid w:val="48B35E3A"/>
    <w:rsid w:val="48BA78DE"/>
    <w:rsid w:val="48C2276C"/>
    <w:rsid w:val="48CA70FD"/>
    <w:rsid w:val="48CB5058"/>
    <w:rsid w:val="48CC2435"/>
    <w:rsid w:val="490D4C4F"/>
    <w:rsid w:val="49134474"/>
    <w:rsid w:val="494065BB"/>
    <w:rsid w:val="494824A6"/>
    <w:rsid w:val="49774D61"/>
    <w:rsid w:val="499814CB"/>
    <w:rsid w:val="499C42E2"/>
    <w:rsid w:val="49C11DC8"/>
    <w:rsid w:val="49FA026B"/>
    <w:rsid w:val="49FA3470"/>
    <w:rsid w:val="4A062529"/>
    <w:rsid w:val="4A092EEB"/>
    <w:rsid w:val="4A3F23A4"/>
    <w:rsid w:val="4A594DC7"/>
    <w:rsid w:val="4A596B7C"/>
    <w:rsid w:val="4A5E3A23"/>
    <w:rsid w:val="4A92373A"/>
    <w:rsid w:val="4A9471BB"/>
    <w:rsid w:val="4A9B3C4D"/>
    <w:rsid w:val="4AA043AA"/>
    <w:rsid w:val="4ABA51D3"/>
    <w:rsid w:val="4ABD1A49"/>
    <w:rsid w:val="4AD16E3D"/>
    <w:rsid w:val="4AF931B1"/>
    <w:rsid w:val="4AFC3933"/>
    <w:rsid w:val="4B17556D"/>
    <w:rsid w:val="4B1914B2"/>
    <w:rsid w:val="4B2C59F9"/>
    <w:rsid w:val="4B46248B"/>
    <w:rsid w:val="4B51159D"/>
    <w:rsid w:val="4B804DBA"/>
    <w:rsid w:val="4B8D6483"/>
    <w:rsid w:val="4B994F91"/>
    <w:rsid w:val="4BA03B14"/>
    <w:rsid w:val="4BA80D67"/>
    <w:rsid w:val="4BB677DA"/>
    <w:rsid w:val="4BBA51A4"/>
    <w:rsid w:val="4BBD33CE"/>
    <w:rsid w:val="4BC75233"/>
    <w:rsid w:val="4C5A7917"/>
    <w:rsid w:val="4C5B7BDE"/>
    <w:rsid w:val="4C6355B0"/>
    <w:rsid w:val="4C857C82"/>
    <w:rsid w:val="4CAA6DEC"/>
    <w:rsid w:val="4CBB5870"/>
    <w:rsid w:val="4CC24C50"/>
    <w:rsid w:val="4D0E12D1"/>
    <w:rsid w:val="4D291727"/>
    <w:rsid w:val="4D2A6786"/>
    <w:rsid w:val="4D365321"/>
    <w:rsid w:val="4D3913B2"/>
    <w:rsid w:val="4D681C3A"/>
    <w:rsid w:val="4D6E540A"/>
    <w:rsid w:val="4D976B7C"/>
    <w:rsid w:val="4DA27A1C"/>
    <w:rsid w:val="4DAA76F7"/>
    <w:rsid w:val="4DBE1C1A"/>
    <w:rsid w:val="4DE652ED"/>
    <w:rsid w:val="4DEF06D0"/>
    <w:rsid w:val="4DFF0486"/>
    <w:rsid w:val="4DFF3300"/>
    <w:rsid w:val="4E0C0B2F"/>
    <w:rsid w:val="4E1405C7"/>
    <w:rsid w:val="4E1D0257"/>
    <w:rsid w:val="4EA53DCB"/>
    <w:rsid w:val="4EC877D1"/>
    <w:rsid w:val="4ED72506"/>
    <w:rsid w:val="4F203DE0"/>
    <w:rsid w:val="4F372F2D"/>
    <w:rsid w:val="4F72431F"/>
    <w:rsid w:val="4F7941E6"/>
    <w:rsid w:val="4F7E3D22"/>
    <w:rsid w:val="4FA90FFB"/>
    <w:rsid w:val="4FB63C92"/>
    <w:rsid w:val="4FBE780A"/>
    <w:rsid w:val="4FF442B8"/>
    <w:rsid w:val="4FF74036"/>
    <w:rsid w:val="50155B19"/>
    <w:rsid w:val="5023371B"/>
    <w:rsid w:val="503A7D50"/>
    <w:rsid w:val="505173DF"/>
    <w:rsid w:val="50573EE0"/>
    <w:rsid w:val="50687EE1"/>
    <w:rsid w:val="507D4863"/>
    <w:rsid w:val="50825ABD"/>
    <w:rsid w:val="50847E24"/>
    <w:rsid w:val="508B2042"/>
    <w:rsid w:val="50A117D4"/>
    <w:rsid w:val="50DC48AF"/>
    <w:rsid w:val="50F1625A"/>
    <w:rsid w:val="5124215A"/>
    <w:rsid w:val="51320B4E"/>
    <w:rsid w:val="513F47ED"/>
    <w:rsid w:val="515B0BD9"/>
    <w:rsid w:val="515D7E45"/>
    <w:rsid w:val="517806BF"/>
    <w:rsid w:val="519B7926"/>
    <w:rsid w:val="51B15013"/>
    <w:rsid w:val="51E62428"/>
    <w:rsid w:val="51F04FD8"/>
    <w:rsid w:val="520E3310"/>
    <w:rsid w:val="52177C0F"/>
    <w:rsid w:val="52211FC4"/>
    <w:rsid w:val="5222697F"/>
    <w:rsid w:val="5253705D"/>
    <w:rsid w:val="52641C31"/>
    <w:rsid w:val="527375B5"/>
    <w:rsid w:val="527C558B"/>
    <w:rsid w:val="52BD5372"/>
    <w:rsid w:val="52C066E1"/>
    <w:rsid w:val="52D93B7C"/>
    <w:rsid w:val="52E0721B"/>
    <w:rsid w:val="52E51C8D"/>
    <w:rsid w:val="52E7467F"/>
    <w:rsid w:val="52F50027"/>
    <w:rsid w:val="530379C0"/>
    <w:rsid w:val="5318224A"/>
    <w:rsid w:val="53211D72"/>
    <w:rsid w:val="53254D94"/>
    <w:rsid w:val="5334399F"/>
    <w:rsid w:val="533A3138"/>
    <w:rsid w:val="537D1372"/>
    <w:rsid w:val="53BB45BD"/>
    <w:rsid w:val="53D8574B"/>
    <w:rsid w:val="53E93774"/>
    <w:rsid w:val="53FE4378"/>
    <w:rsid w:val="53FF22C9"/>
    <w:rsid w:val="541146DE"/>
    <w:rsid w:val="54124691"/>
    <w:rsid w:val="54227209"/>
    <w:rsid w:val="542F6611"/>
    <w:rsid w:val="544E4D2A"/>
    <w:rsid w:val="54747F77"/>
    <w:rsid w:val="548B4358"/>
    <w:rsid w:val="54A52B04"/>
    <w:rsid w:val="54BD3E01"/>
    <w:rsid w:val="55061C05"/>
    <w:rsid w:val="550D4C7E"/>
    <w:rsid w:val="5534034E"/>
    <w:rsid w:val="55361973"/>
    <w:rsid w:val="55826059"/>
    <w:rsid w:val="559C4EB4"/>
    <w:rsid w:val="55B577AC"/>
    <w:rsid w:val="55B840E3"/>
    <w:rsid w:val="55DB4169"/>
    <w:rsid w:val="55E42A54"/>
    <w:rsid w:val="55EA0851"/>
    <w:rsid w:val="55FB65C8"/>
    <w:rsid w:val="56021E2A"/>
    <w:rsid w:val="560A0CCC"/>
    <w:rsid w:val="560A7BA7"/>
    <w:rsid w:val="561E24B4"/>
    <w:rsid w:val="5624608C"/>
    <w:rsid w:val="566762AF"/>
    <w:rsid w:val="567233E3"/>
    <w:rsid w:val="56813D12"/>
    <w:rsid w:val="56A35EB9"/>
    <w:rsid w:val="56B53234"/>
    <w:rsid w:val="56C07344"/>
    <w:rsid w:val="56D53EDE"/>
    <w:rsid w:val="56FE0584"/>
    <w:rsid w:val="57070F3F"/>
    <w:rsid w:val="5738023E"/>
    <w:rsid w:val="573B17CB"/>
    <w:rsid w:val="573D4E87"/>
    <w:rsid w:val="577A4C43"/>
    <w:rsid w:val="5781514F"/>
    <w:rsid w:val="578D15B1"/>
    <w:rsid w:val="57A25E51"/>
    <w:rsid w:val="57A80A97"/>
    <w:rsid w:val="57C16AE7"/>
    <w:rsid w:val="57E45843"/>
    <w:rsid w:val="57F22874"/>
    <w:rsid w:val="57F77A99"/>
    <w:rsid w:val="58036FF1"/>
    <w:rsid w:val="580E26D8"/>
    <w:rsid w:val="581F31B7"/>
    <w:rsid w:val="58367EC4"/>
    <w:rsid w:val="585B2F03"/>
    <w:rsid w:val="58803767"/>
    <w:rsid w:val="58807951"/>
    <w:rsid w:val="58A9400E"/>
    <w:rsid w:val="58C53BF9"/>
    <w:rsid w:val="58DF4006"/>
    <w:rsid w:val="591724CF"/>
    <w:rsid w:val="591D14AE"/>
    <w:rsid w:val="591F64C4"/>
    <w:rsid w:val="59272B65"/>
    <w:rsid w:val="59284BD5"/>
    <w:rsid w:val="593016BD"/>
    <w:rsid w:val="59324F49"/>
    <w:rsid w:val="593928F1"/>
    <w:rsid w:val="596E2614"/>
    <w:rsid w:val="59847F15"/>
    <w:rsid w:val="59890768"/>
    <w:rsid w:val="59B30F36"/>
    <w:rsid w:val="59E35308"/>
    <w:rsid w:val="5A151319"/>
    <w:rsid w:val="5A384853"/>
    <w:rsid w:val="5A567EF5"/>
    <w:rsid w:val="5A7E4921"/>
    <w:rsid w:val="5A8A3DB1"/>
    <w:rsid w:val="5A972372"/>
    <w:rsid w:val="5AA9184E"/>
    <w:rsid w:val="5AB23F52"/>
    <w:rsid w:val="5AD433FA"/>
    <w:rsid w:val="5AD9352C"/>
    <w:rsid w:val="5ADC5520"/>
    <w:rsid w:val="5AE31628"/>
    <w:rsid w:val="5AE80B9C"/>
    <w:rsid w:val="5B0C3AF9"/>
    <w:rsid w:val="5B1B7F7F"/>
    <w:rsid w:val="5B3028BF"/>
    <w:rsid w:val="5B747B40"/>
    <w:rsid w:val="5B9135E6"/>
    <w:rsid w:val="5B976158"/>
    <w:rsid w:val="5BA3302A"/>
    <w:rsid w:val="5BC85BF2"/>
    <w:rsid w:val="5BD15CD7"/>
    <w:rsid w:val="5BD62506"/>
    <w:rsid w:val="5C281CBF"/>
    <w:rsid w:val="5C375F97"/>
    <w:rsid w:val="5C3F2313"/>
    <w:rsid w:val="5C7F704A"/>
    <w:rsid w:val="5CD003EE"/>
    <w:rsid w:val="5CD502ED"/>
    <w:rsid w:val="5CDB0255"/>
    <w:rsid w:val="5CED0783"/>
    <w:rsid w:val="5CF750B0"/>
    <w:rsid w:val="5D0040C4"/>
    <w:rsid w:val="5D1B5705"/>
    <w:rsid w:val="5D3868D0"/>
    <w:rsid w:val="5D3D5F84"/>
    <w:rsid w:val="5D3E03A7"/>
    <w:rsid w:val="5D464C29"/>
    <w:rsid w:val="5D476C64"/>
    <w:rsid w:val="5D72396D"/>
    <w:rsid w:val="5D771884"/>
    <w:rsid w:val="5D82078A"/>
    <w:rsid w:val="5D9406D1"/>
    <w:rsid w:val="5D96394F"/>
    <w:rsid w:val="5DB61B29"/>
    <w:rsid w:val="5DCC1CA1"/>
    <w:rsid w:val="5DF6043F"/>
    <w:rsid w:val="5DFE13F7"/>
    <w:rsid w:val="5E0A56D8"/>
    <w:rsid w:val="5E1E33A9"/>
    <w:rsid w:val="5E230800"/>
    <w:rsid w:val="5E271CE1"/>
    <w:rsid w:val="5E364141"/>
    <w:rsid w:val="5E3B3CA9"/>
    <w:rsid w:val="5E3F7DAD"/>
    <w:rsid w:val="5E53162C"/>
    <w:rsid w:val="5E5A6FD4"/>
    <w:rsid w:val="5E8377B9"/>
    <w:rsid w:val="5E9C1ACB"/>
    <w:rsid w:val="5ECA75B8"/>
    <w:rsid w:val="5F103D27"/>
    <w:rsid w:val="5F2F7AD8"/>
    <w:rsid w:val="5F3D0212"/>
    <w:rsid w:val="5F4D7E8D"/>
    <w:rsid w:val="5F88394B"/>
    <w:rsid w:val="5F8A6E4E"/>
    <w:rsid w:val="5F924DC1"/>
    <w:rsid w:val="5FA227CC"/>
    <w:rsid w:val="5FB95257"/>
    <w:rsid w:val="5FC664C8"/>
    <w:rsid w:val="5FC93F13"/>
    <w:rsid w:val="5FD93159"/>
    <w:rsid w:val="5FE837F5"/>
    <w:rsid w:val="5FF6617D"/>
    <w:rsid w:val="5FFE2592"/>
    <w:rsid w:val="600F4284"/>
    <w:rsid w:val="603F0023"/>
    <w:rsid w:val="604134CD"/>
    <w:rsid w:val="604C0C43"/>
    <w:rsid w:val="605D42EA"/>
    <w:rsid w:val="60A61E75"/>
    <w:rsid w:val="60A6637C"/>
    <w:rsid w:val="60BA6E4F"/>
    <w:rsid w:val="60BC2341"/>
    <w:rsid w:val="60DB75D3"/>
    <w:rsid w:val="60FF5D94"/>
    <w:rsid w:val="61243ADB"/>
    <w:rsid w:val="615A7F35"/>
    <w:rsid w:val="618668C8"/>
    <w:rsid w:val="61AC22C2"/>
    <w:rsid w:val="61B13F9A"/>
    <w:rsid w:val="61BC05B0"/>
    <w:rsid w:val="61BF0745"/>
    <w:rsid w:val="62007B87"/>
    <w:rsid w:val="620361E5"/>
    <w:rsid w:val="62444D1E"/>
    <w:rsid w:val="626211CB"/>
    <w:rsid w:val="626B4E79"/>
    <w:rsid w:val="627D15E7"/>
    <w:rsid w:val="62851CDD"/>
    <w:rsid w:val="62A71108"/>
    <w:rsid w:val="62B12EE3"/>
    <w:rsid w:val="62C872A0"/>
    <w:rsid w:val="62FA0886"/>
    <w:rsid w:val="632623AE"/>
    <w:rsid w:val="6334467B"/>
    <w:rsid w:val="634B6A33"/>
    <w:rsid w:val="63537050"/>
    <w:rsid w:val="635860FB"/>
    <w:rsid w:val="6366073D"/>
    <w:rsid w:val="637451BA"/>
    <w:rsid w:val="63856835"/>
    <w:rsid w:val="638C7095"/>
    <w:rsid w:val="63B1118B"/>
    <w:rsid w:val="64481CC9"/>
    <w:rsid w:val="644A799E"/>
    <w:rsid w:val="645A63E0"/>
    <w:rsid w:val="648264B3"/>
    <w:rsid w:val="649C0C41"/>
    <w:rsid w:val="64B74F47"/>
    <w:rsid w:val="64CA33E1"/>
    <w:rsid w:val="64D360F3"/>
    <w:rsid w:val="64EB5CA0"/>
    <w:rsid w:val="64F91C54"/>
    <w:rsid w:val="65031CD1"/>
    <w:rsid w:val="650352E9"/>
    <w:rsid w:val="65053E1E"/>
    <w:rsid w:val="65054FBD"/>
    <w:rsid w:val="650B73ED"/>
    <w:rsid w:val="65420171"/>
    <w:rsid w:val="65526949"/>
    <w:rsid w:val="65797519"/>
    <w:rsid w:val="65BD50D4"/>
    <w:rsid w:val="65D5075D"/>
    <w:rsid w:val="65DD5452"/>
    <w:rsid w:val="65FC49E9"/>
    <w:rsid w:val="661B69F5"/>
    <w:rsid w:val="66240CDA"/>
    <w:rsid w:val="662A0A38"/>
    <w:rsid w:val="662C4755"/>
    <w:rsid w:val="66486107"/>
    <w:rsid w:val="66494234"/>
    <w:rsid w:val="665011DF"/>
    <w:rsid w:val="66695C78"/>
    <w:rsid w:val="666E2F01"/>
    <w:rsid w:val="668318A7"/>
    <w:rsid w:val="6684029B"/>
    <w:rsid w:val="668C16E3"/>
    <w:rsid w:val="669A7F65"/>
    <w:rsid w:val="66A65502"/>
    <w:rsid w:val="66B2251C"/>
    <w:rsid w:val="66B353FF"/>
    <w:rsid w:val="66B35A7A"/>
    <w:rsid w:val="66D76328"/>
    <w:rsid w:val="66DA3D3C"/>
    <w:rsid w:val="66DC180B"/>
    <w:rsid w:val="66E50D0E"/>
    <w:rsid w:val="66EC2A81"/>
    <w:rsid w:val="66F82670"/>
    <w:rsid w:val="67247A5C"/>
    <w:rsid w:val="672B1A53"/>
    <w:rsid w:val="67427C8E"/>
    <w:rsid w:val="67C30AB2"/>
    <w:rsid w:val="67E75E72"/>
    <w:rsid w:val="680C0D40"/>
    <w:rsid w:val="682A4B88"/>
    <w:rsid w:val="682F10B1"/>
    <w:rsid w:val="682F5D03"/>
    <w:rsid w:val="683819C4"/>
    <w:rsid w:val="68946DA9"/>
    <w:rsid w:val="68A42409"/>
    <w:rsid w:val="68A62796"/>
    <w:rsid w:val="68E77426"/>
    <w:rsid w:val="690909C7"/>
    <w:rsid w:val="690D5ADF"/>
    <w:rsid w:val="691C697F"/>
    <w:rsid w:val="692D497F"/>
    <w:rsid w:val="693A0334"/>
    <w:rsid w:val="69563B27"/>
    <w:rsid w:val="69567D99"/>
    <w:rsid w:val="69674BBF"/>
    <w:rsid w:val="69836008"/>
    <w:rsid w:val="69841C93"/>
    <w:rsid w:val="69892653"/>
    <w:rsid w:val="69C27024"/>
    <w:rsid w:val="69CC7479"/>
    <w:rsid w:val="69CF5080"/>
    <w:rsid w:val="69E43C45"/>
    <w:rsid w:val="69EB1A1A"/>
    <w:rsid w:val="69F5715D"/>
    <w:rsid w:val="6A270136"/>
    <w:rsid w:val="6A346DB0"/>
    <w:rsid w:val="6A5128E7"/>
    <w:rsid w:val="6A555782"/>
    <w:rsid w:val="6A617017"/>
    <w:rsid w:val="6A62085F"/>
    <w:rsid w:val="6A6D17E9"/>
    <w:rsid w:val="6A7F68EE"/>
    <w:rsid w:val="6A832F5C"/>
    <w:rsid w:val="6A897109"/>
    <w:rsid w:val="6A8E6B03"/>
    <w:rsid w:val="6A9017D1"/>
    <w:rsid w:val="6A9F20FF"/>
    <w:rsid w:val="6AAD7CD0"/>
    <w:rsid w:val="6AC04C83"/>
    <w:rsid w:val="6AC255E7"/>
    <w:rsid w:val="6ADE2B64"/>
    <w:rsid w:val="6AEF0C5E"/>
    <w:rsid w:val="6AFE3A45"/>
    <w:rsid w:val="6B2270C3"/>
    <w:rsid w:val="6B31046B"/>
    <w:rsid w:val="6B3A79C8"/>
    <w:rsid w:val="6B400911"/>
    <w:rsid w:val="6B41632D"/>
    <w:rsid w:val="6B4C4CA6"/>
    <w:rsid w:val="6B4F2CA1"/>
    <w:rsid w:val="6BA0669E"/>
    <w:rsid w:val="6BC16A63"/>
    <w:rsid w:val="6BCB6198"/>
    <w:rsid w:val="6BE31CE9"/>
    <w:rsid w:val="6BF77DC1"/>
    <w:rsid w:val="6C0C36AA"/>
    <w:rsid w:val="6C1908AC"/>
    <w:rsid w:val="6C2D5854"/>
    <w:rsid w:val="6C696408"/>
    <w:rsid w:val="6C6D2D0D"/>
    <w:rsid w:val="6C7453DE"/>
    <w:rsid w:val="6C855301"/>
    <w:rsid w:val="6CA026F1"/>
    <w:rsid w:val="6CBC13F4"/>
    <w:rsid w:val="6CD25BDE"/>
    <w:rsid w:val="6D014DE6"/>
    <w:rsid w:val="6D016666"/>
    <w:rsid w:val="6D1F041D"/>
    <w:rsid w:val="6D4C79DE"/>
    <w:rsid w:val="6D8650A8"/>
    <w:rsid w:val="6DA97C2D"/>
    <w:rsid w:val="6DB036E0"/>
    <w:rsid w:val="6DF10C7C"/>
    <w:rsid w:val="6DF767A3"/>
    <w:rsid w:val="6E000787"/>
    <w:rsid w:val="6E091096"/>
    <w:rsid w:val="6E4352D1"/>
    <w:rsid w:val="6E68594D"/>
    <w:rsid w:val="6E737441"/>
    <w:rsid w:val="6EBC030F"/>
    <w:rsid w:val="6EE71652"/>
    <w:rsid w:val="6EE7690C"/>
    <w:rsid w:val="6F221BDF"/>
    <w:rsid w:val="6F2F55F5"/>
    <w:rsid w:val="6F64004E"/>
    <w:rsid w:val="6F6D549F"/>
    <w:rsid w:val="6F833ED3"/>
    <w:rsid w:val="6FB27F32"/>
    <w:rsid w:val="6FE31E38"/>
    <w:rsid w:val="6FF806A1"/>
    <w:rsid w:val="700B69B6"/>
    <w:rsid w:val="7016717C"/>
    <w:rsid w:val="701F46BD"/>
    <w:rsid w:val="704F6C8A"/>
    <w:rsid w:val="70512CBB"/>
    <w:rsid w:val="706F7AF1"/>
    <w:rsid w:val="7073649E"/>
    <w:rsid w:val="708B1E74"/>
    <w:rsid w:val="70997EB1"/>
    <w:rsid w:val="70B7737C"/>
    <w:rsid w:val="70C61C53"/>
    <w:rsid w:val="70D06298"/>
    <w:rsid w:val="70D154FC"/>
    <w:rsid w:val="70D37054"/>
    <w:rsid w:val="70EF1E06"/>
    <w:rsid w:val="70F03E32"/>
    <w:rsid w:val="70F41DF3"/>
    <w:rsid w:val="70F43C20"/>
    <w:rsid w:val="70FD6B31"/>
    <w:rsid w:val="71263532"/>
    <w:rsid w:val="716554F5"/>
    <w:rsid w:val="716C2347"/>
    <w:rsid w:val="71DF5A6C"/>
    <w:rsid w:val="71EE6E25"/>
    <w:rsid w:val="71FC599A"/>
    <w:rsid w:val="72085F0E"/>
    <w:rsid w:val="723C7C02"/>
    <w:rsid w:val="7248108B"/>
    <w:rsid w:val="724A05E8"/>
    <w:rsid w:val="724D54DA"/>
    <w:rsid w:val="726D2B99"/>
    <w:rsid w:val="72811853"/>
    <w:rsid w:val="729C3ADB"/>
    <w:rsid w:val="729C5E28"/>
    <w:rsid w:val="72BC0523"/>
    <w:rsid w:val="72BD5E94"/>
    <w:rsid w:val="72D37019"/>
    <w:rsid w:val="72F64228"/>
    <w:rsid w:val="73112B0E"/>
    <w:rsid w:val="733F0605"/>
    <w:rsid w:val="7342058C"/>
    <w:rsid w:val="73580214"/>
    <w:rsid w:val="73735CE2"/>
    <w:rsid w:val="738730CC"/>
    <w:rsid w:val="738C1DEC"/>
    <w:rsid w:val="73905898"/>
    <w:rsid w:val="73B2346F"/>
    <w:rsid w:val="73C05842"/>
    <w:rsid w:val="73CD5085"/>
    <w:rsid w:val="73D253C5"/>
    <w:rsid w:val="73D9728E"/>
    <w:rsid w:val="73FD0B65"/>
    <w:rsid w:val="73FE6354"/>
    <w:rsid w:val="74045F5B"/>
    <w:rsid w:val="740C792C"/>
    <w:rsid w:val="741065A6"/>
    <w:rsid w:val="74261C2A"/>
    <w:rsid w:val="743E4FDA"/>
    <w:rsid w:val="74454306"/>
    <w:rsid w:val="745312BB"/>
    <w:rsid w:val="745D14B7"/>
    <w:rsid w:val="74824798"/>
    <w:rsid w:val="74A7265D"/>
    <w:rsid w:val="74AE7EC3"/>
    <w:rsid w:val="74BE1A94"/>
    <w:rsid w:val="74F536B8"/>
    <w:rsid w:val="7502185A"/>
    <w:rsid w:val="75042CB0"/>
    <w:rsid w:val="751F5A9C"/>
    <w:rsid w:val="75325F01"/>
    <w:rsid w:val="7553092D"/>
    <w:rsid w:val="755B7EA8"/>
    <w:rsid w:val="7595642F"/>
    <w:rsid w:val="75C07742"/>
    <w:rsid w:val="75CD5B0E"/>
    <w:rsid w:val="75F730E2"/>
    <w:rsid w:val="76075D1D"/>
    <w:rsid w:val="762B6B2F"/>
    <w:rsid w:val="763F7F9F"/>
    <w:rsid w:val="76495049"/>
    <w:rsid w:val="76511A2A"/>
    <w:rsid w:val="76680E2B"/>
    <w:rsid w:val="767239E5"/>
    <w:rsid w:val="767637F9"/>
    <w:rsid w:val="769F52A1"/>
    <w:rsid w:val="76AA20E5"/>
    <w:rsid w:val="76B37D2C"/>
    <w:rsid w:val="76EE55AC"/>
    <w:rsid w:val="76F0723C"/>
    <w:rsid w:val="76F220C7"/>
    <w:rsid w:val="772671D2"/>
    <w:rsid w:val="77286DDB"/>
    <w:rsid w:val="77405661"/>
    <w:rsid w:val="77440E21"/>
    <w:rsid w:val="77746DB1"/>
    <w:rsid w:val="778945D8"/>
    <w:rsid w:val="779F79D2"/>
    <w:rsid w:val="77AE3DC8"/>
    <w:rsid w:val="77AE4C12"/>
    <w:rsid w:val="780139E8"/>
    <w:rsid w:val="78121F2E"/>
    <w:rsid w:val="78344EE6"/>
    <w:rsid w:val="783A61D4"/>
    <w:rsid w:val="7844255D"/>
    <w:rsid w:val="78444A87"/>
    <w:rsid w:val="784721A0"/>
    <w:rsid w:val="785E0E06"/>
    <w:rsid w:val="78696411"/>
    <w:rsid w:val="7883255F"/>
    <w:rsid w:val="7885742D"/>
    <w:rsid w:val="78866106"/>
    <w:rsid w:val="78915E65"/>
    <w:rsid w:val="78972FCD"/>
    <w:rsid w:val="78B16E23"/>
    <w:rsid w:val="78B54A54"/>
    <w:rsid w:val="78C920C8"/>
    <w:rsid w:val="78CB24D8"/>
    <w:rsid w:val="78CB4BD8"/>
    <w:rsid w:val="78D90277"/>
    <w:rsid w:val="78E215F4"/>
    <w:rsid w:val="78F66B43"/>
    <w:rsid w:val="7907149F"/>
    <w:rsid w:val="792E5ADB"/>
    <w:rsid w:val="793A736F"/>
    <w:rsid w:val="79484259"/>
    <w:rsid w:val="795A6E1D"/>
    <w:rsid w:val="79630533"/>
    <w:rsid w:val="7972680A"/>
    <w:rsid w:val="79795E1A"/>
    <w:rsid w:val="799F4D83"/>
    <w:rsid w:val="79B35723"/>
    <w:rsid w:val="79BF0825"/>
    <w:rsid w:val="7A030083"/>
    <w:rsid w:val="7A3352C5"/>
    <w:rsid w:val="7A3D27CB"/>
    <w:rsid w:val="7A3F40F0"/>
    <w:rsid w:val="7A435623"/>
    <w:rsid w:val="7A496ADC"/>
    <w:rsid w:val="7A5A4664"/>
    <w:rsid w:val="7A5C08CD"/>
    <w:rsid w:val="7A616204"/>
    <w:rsid w:val="7A840D5E"/>
    <w:rsid w:val="7A981DCF"/>
    <w:rsid w:val="7A990E28"/>
    <w:rsid w:val="7AAD422E"/>
    <w:rsid w:val="7AEB472F"/>
    <w:rsid w:val="7AF00FBF"/>
    <w:rsid w:val="7B036CB8"/>
    <w:rsid w:val="7B0D6371"/>
    <w:rsid w:val="7B425546"/>
    <w:rsid w:val="7B5E2D46"/>
    <w:rsid w:val="7B62387C"/>
    <w:rsid w:val="7B631AB3"/>
    <w:rsid w:val="7B715A61"/>
    <w:rsid w:val="7B7C01F3"/>
    <w:rsid w:val="7B8E0777"/>
    <w:rsid w:val="7B9A1458"/>
    <w:rsid w:val="7BB0072A"/>
    <w:rsid w:val="7BC71E77"/>
    <w:rsid w:val="7BF662EE"/>
    <w:rsid w:val="7BF7021D"/>
    <w:rsid w:val="7BFF1548"/>
    <w:rsid w:val="7C0F05A7"/>
    <w:rsid w:val="7C16565F"/>
    <w:rsid w:val="7C2E610C"/>
    <w:rsid w:val="7C536936"/>
    <w:rsid w:val="7C585E3C"/>
    <w:rsid w:val="7C816FEB"/>
    <w:rsid w:val="7CE945FD"/>
    <w:rsid w:val="7CF01E50"/>
    <w:rsid w:val="7D0E7EB8"/>
    <w:rsid w:val="7D254BDC"/>
    <w:rsid w:val="7D2D083F"/>
    <w:rsid w:val="7D703797"/>
    <w:rsid w:val="7D783084"/>
    <w:rsid w:val="7D7D0F19"/>
    <w:rsid w:val="7D7F4BE5"/>
    <w:rsid w:val="7D814D3F"/>
    <w:rsid w:val="7D90280C"/>
    <w:rsid w:val="7D9163DF"/>
    <w:rsid w:val="7DAF0FF3"/>
    <w:rsid w:val="7DD11077"/>
    <w:rsid w:val="7DF7205D"/>
    <w:rsid w:val="7E5068C1"/>
    <w:rsid w:val="7E57474F"/>
    <w:rsid w:val="7E597CD7"/>
    <w:rsid w:val="7E5A355A"/>
    <w:rsid w:val="7E914CB0"/>
    <w:rsid w:val="7EB0558F"/>
    <w:rsid w:val="7EF62377"/>
    <w:rsid w:val="7EF96EB6"/>
    <w:rsid w:val="7EFF54A2"/>
    <w:rsid w:val="7F0A2079"/>
    <w:rsid w:val="7F1B49D7"/>
    <w:rsid w:val="7F2002CB"/>
    <w:rsid w:val="7F377547"/>
    <w:rsid w:val="7F3D15CE"/>
    <w:rsid w:val="7F4A43D7"/>
    <w:rsid w:val="7F694513"/>
    <w:rsid w:val="7F765689"/>
    <w:rsid w:val="7FA6487B"/>
    <w:rsid w:val="7FBA00B3"/>
    <w:rsid w:val="7FDA6E1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4"/>
    <w:link w:val="5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8"/>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0"/>
    <w:qFormat/>
    <w:uiPriority w:val="0"/>
    <w:rPr>
      <w:rFonts w:ascii="宋体"/>
      <w:sz w:val="18"/>
      <w:szCs w:val="18"/>
    </w:rPr>
  </w:style>
  <w:style w:type="paragraph" w:styleId="7">
    <w:name w:val="annotation text"/>
    <w:basedOn w:val="1"/>
    <w:link w:val="31"/>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7"/>
    <w:qFormat/>
    <w:uiPriority w:val="0"/>
    <w:pPr>
      <w:spacing w:after="120"/>
      <w:ind w:left="420" w:leftChars="200"/>
    </w:pPr>
  </w:style>
  <w:style w:type="paragraph" w:styleId="10">
    <w:name w:val="toc 3"/>
    <w:basedOn w:val="1"/>
    <w:next w:val="1"/>
    <w:link w:val="34"/>
    <w:qFormat/>
    <w:uiPriority w:val="39"/>
    <w:pPr>
      <w:spacing w:line="500" w:lineRule="exact"/>
      <w:ind w:left="400" w:leftChars="400"/>
    </w:pPr>
    <w:rPr>
      <w:kern w:val="0"/>
      <w:sz w:val="24"/>
      <w:szCs w:val="20"/>
    </w:rPr>
  </w:style>
  <w:style w:type="paragraph" w:styleId="11">
    <w:name w:val="Plain Text"/>
    <w:basedOn w:val="1"/>
    <w:link w:val="35"/>
    <w:qFormat/>
    <w:uiPriority w:val="0"/>
    <w:rPr>
      <w:rFonts w:ascii="宋体" w:hAnsi="Courier New"/>
      <w:szCs w:val="20"/>
    </w:rPr>
  </w:style>
  <w:style w:type="paragraph" w:styleId="12">
    <w:name w:val="Date"/>
    <w:basedOn w:val="1"/>
    <w:next w:val="1"/>
    <w:link w:val="39"/>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index 1"/>
    <w:basedOn w:val="1"/>
    <w:next w:val="1"/>
    <w:semiHidden/>
    <w:qFormat/>
    <w:uiPriority w:val="0"/>
    <w:rPr>
      <w:szCs w:val="20"/>
    </w:rPr>
  </w:style>
  <w:style w:type="paragraph" w:styleId="21">
    <w:name w:val="annotation subject"/>
    <w:basedOn w:val="7"/>
    <w:next w:val="7"/>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character" w:customStyle="1" w:styleId="30">
    <w:name w:val="文档结构图 字符"/>
    <w:link w:val="6"/>
    <w:qFormat/>
    <w:uiPriority w:val="0"/>
    <w:rPr>
      <w:rFonts w:ascii="宋体" w:eastAsia="宋体"/>
      <w:kern w:val="2"/>
      <w:sz w:val="18"/>
      <w:szCs w:val="18"/>
      <w:lang w:val="en-US" w:eastAsia="zh-CN" w:bidi="ar-SA"/>
    </w:rPr>
  </w:style>
  <w:style w:type="character" w:customStyle="1" w:styleId="31">
    <w:name w:val="批注文字 字符"/>
    <w:link w:val="7"/>
    <w:qFormat/>
    <w:uiPriority w:val="99"/>
    <w:rPr>
      <w:rFonts w:ascii="仿宋_GB2312" w:eastAsia="仿宋_GB2312"/>
      <w:kern w:val="2"/>
      <w:sz w:val="32"/>
      <w:szCs w:val="32"/>
    </w:rPr>
  </w:style>
  <w:style w:type="character" w:customStyle="1" w:styleId="32">
    <w:name w:val="样式（正文） Char"/>
    <w:link w:val="33"/>
    <w:qFormat/>
    <w:locked/>
    <w:uiPriority w:val="0"/>
    <w:rPr>
      <w:rFonts w:ascii="宋体" w:hAnsi="宋体" w:eastAsia="宋体"/>
      <w:kern w:val="2"/>
      <w:sz w:val="24"/>
      <w:szCs w:val="22"/>
      <w:lang w:bidi="ar-SA"/>
    </w:rPr>
  </w:style>
  <w:style w:type="paragraph" w:customStyle="1" w:styleId="33">
    <w:name w:val="样式（正文）"/>
    <w:basedOn w:val="1"/>
    <w:link w:val="32"/>
    <w:qFormat/>
    <w:uiPriority w:val="0"/>
    <w:pPr>
      <w:spacing w:line="360" w:lineRule="auto"/>
      <w:ind w:firstLine="200" w:firstLineChars="200"/>
    </w:pPr>
    <w:rPr>
      <w:rFonts w:ascii="宋体" w:hAnsi="宋体"/>
      <w:sz w:val="24"/>
      <w:szCs w:val="22"/>
    </w:rPr>
  </w:style>
  <w:style w:type="character" w:customStyle="1" w:styleId="34">
    <w:name w:val="目录 3 字符"/>
    <w:link w:val="10"/>
    <w:qFormat/>
    <w:uiPriority w:val="39"/>
    <w:rPr>
      <w:sz w:val="24"/>
    </w:rPr>
  </w:style>
  <w:style w:type="character" w:customStyle="1" w:styleId="35">
    <w:name w:val="纯文本 字符"/>
    <w:link w:val="11"/>
    <w:qFormat/>
    <w:uiPriority w:val="0"/>
    <w:rPr>
      <w:rFonts w:ascii="宋体" w:hAnsi="Courier New"/>
      <w:kern w:val="2"/>
      <w:sz w:val="21"/>
    </w:rPr>
  </w:style>
  <w:style w:type="character" w:customStyle="1" w:styleId="36">
    <w:name w:val="页脚 字符"/>
    <w:basedOn w:val="24"/>
    <w:link w:val="15"/>
    <w:qFormat/>
    <w:uiPriority w:val="99"/>
    <w:rPr>
      <w:kern w:val="2"/>
      <w:sz w:val="18"/>
      <w:szCs w:val="18"/>
    </w:rPr>
  </w:style>
  <w:style w:type="character" w:customStyle="1" w:styleId="37">
    <w:name w:val="正文文本缩进 字符"/>
    <w:link w:val="9"/>
    <w:qFormat/>
    <w:uiPriority w:val="0"/>
  </w:style>
  <w:style w:type="character" w:customStyle="1" w:styleId="38">
    <w:name w:val="正文缩进 字符"/>
    <w:link w:val="4"/>
    <w:qFormat/>
    <w:uiPriority w:val="0"/>
    <w:rPr>
      <w:rFonts w:ascii="宋体" w:eastAsia="宋体"/>
      <w:sz w:val="24"/>
      <w:lang w:val="en-US" w:eastAsia="zh-CN" w:bidi="ar-SA"/>
    </w:rPr>
  </w:style>
  <w:style w:type="character" w:customStyle="1" w:styleId="39">
    <w:name w:val="日期 字符"/>
    <w:basedOn w:val="24"/>
    <w:link w:val="12"/>
    <w:qFormat/>
    <w:uiPriority w:val="0"/>
    <w:rPr>
      <w:kern w:val="2"/>
      <w:sz w:val="21"/>
      <w:szCs w:val="24"/>
    </w:rPr>
  </w:style>
  <w:style w:type="paragraph" w:customStyle="1" w:styleId="40">
    <w:name w:val="Char Char1"/>
    <w:basedOn w:val="1"/>
    <w:qFormat/>
    <w:uiPriority w:val="0"/>
  </w:style>
  <w:style w:type="paragraph" w:customStyle="1" w:styleId="41">
    <w:name w:val="p0"/>
    <w:basedOn w:val="1"/>
    <w:qFormat/>
    <w:uiPriority w:val="0"/>
    <w:pPr>
      <w:widowControl/>
      <w:snapToGrid w:val="0"/>
      <w:spacing w:after="200"/>
      <w:jc w:val="left"/>
    </w:pPr>
    <w:rPr>
      <w:rFonts w:ascii="Tahoma" w:hAnsi="Tahoma" w:cs="Tahoma"/>
      <w:kern w:val="0"/>
      <w:sz w:val="22"/>
      <w:szCs w:val="22"/>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Char1"/>
    <w:basedOn w:val="1"/>
    <w:qFormat/>
    <w:uiPriority w:val="0"/>
    <w:rPr>
      <w:rFonts w:ascii="Tahoma" w:hAnsi="Tahoma"/>
      <w:sz w:val="24"/>
      <w:szCs w:val="20"/>
    </w:rPr>
  </w:style>
  <w:style w:type="paragraph" w:customStyle="1" w:styleId="44">
    <w:name w:val="Char"/>
    <w:basedOn w:val="1"/>
    <w:qFormat/>
    <w:uiPriority w:val="0"/>
    <w:pPr>
      <w:tabs>
        <w:tab w:val="left" w:pos="432"/>
      </w:tabs>
      <w:spacing w:beforeLines="50" w:afterLines="50"/>
      <w:ind w:left="864" w:hanging="432"/>
    </w:pPr>
    <w:rPr>
      <w:sz w:val="24"/>
    </w:rPr>
  </w:style>
  <w:style w:type="paragraph" w:customStyle="1" w:styleId="45">
    <w:name w:val="样式 标题 2 + 段后: 156 磅"/>
    <w:basedOn w:val="3"/>
    <w:qFormat/>
    <w:uiPriority w:val="0"/>
    <w:pPr>
      <w:spacing w:before="100" w:after="100" w:line="240" w:lineRule="auto"/>
    </w:pPr>
    <w:rPr>
      <w:rFonts w:cs="宋体"/>
      <w:bCs/>
      <w:sz w:val="30"/>
    </w:rPr>
  </w:style>
  <w:style w:type="paragraph" w:customStyle="1" w:styleId="46">
    <w:name w:val="Char Char11"/>
    <w:basedOn w:val="1"/>
    <w:qFormat/>
    <w:uiPriority w:val="0"/>
    <w:rPr>
      <w:szCs w:val="20"/>
    </w:rPr>
  </w:style>
  <w:style w:type="paragraph" w:customStyle="1" w:styleId="47">
    <w:name w:val="样式1"/>
    <w:basedOn w:val="5"/>
    <w:qFormat/>
    <w:uiPriority w:val="0"/>
    <w:pPr>
      <w:jc w:val="center"/>
    </w:pPr>
  </w:style>
  <w:style w:type="paragraph" w:customStyle="1" w:styleId="48">
    <w:name w:val="列出段落1"/>
    <w:basedOn w:val="1"/>
    <w:qFormat/>
    <w:uiPriority w:val="34"/>
    <w:pPr>
      <w:ind w:firstLine="420" w:firstLineChars="200"/>
    </w:pPr>
    <w:rPr>
      <w:rFonts w:ascii="Calibri" w:hAnsi="Calibri"/>
      <w:szCs w:val="22"/>
    </w:rPr>
  </w:style>
  <w:style w:type="paragraph" w:customStyle="1" w:styleId="49">
    <w:name w:val="Char11"/>
    <w:basedOn w:val="1"/>
    <w:qFormat/>
    <w:uiPriority w:val="0"/>
    <w:rPr>
      <w:rFonts w:ascii="Tahoma" w:hAnsi="Tahoma"/>
      <w:sz w:val="24"/>
      <w:szCs w:val="20"/>
    </w:rPr>
  </w:style>
  <w:style w:type="paragraph" w:customStyle="1" w:styleId="50">
    <w:name w:val="Char2"/>
    <w:basedOn w:val="1"/>
    <w:next w:val="1"/>
    <w:qFormat/>
    <w:uiPriority w:val="0"/>
    <w:pPr>
      <w:widowControl/>
      <w:spacing w:line="360" w:lineRule="auto"/>
      <w:jc w:val="left"/>
    </w:pPr>
    <w:rPr>
      <w:kern w:val="0"/>
      <w:szCs w:val="20"/>
      <w:lang w:eastAsia="en-US"/>
    </w:rPr>
  </w:style>
  <w:style w:type="paragraph" w:customStyle="1" w:styleId="51">
    <w:name w:val="表文"/>
    <w:basedOn w:val="1"/>
    <w:qFormat/>
    <w:uiPriority w:val="0"/>
    <w:rPr>
      <w:rFonts w:ascii="宋体" w:hAnsi="宋体" w:cs="宋体"/>
      <w:color w:val="000000"/>
      <w:kern w:val="0"/>
      <w:szCs w:val="21"/>
    </w:rPr>
  </w:style>
  <w:style w:type="paragraph" w:customStyle="1" w:styleId="5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批注文字 Char1"/>
    <w:basedOn w:val="24"/>
    <w:semiHidden/>
    <w:qFormat/>
    <w:uiPriority w:val="99"/>
    <w:rPr>
      <w:rFonts w:ascii="Times New Roman" w:hAnsi="Times New Roman" w:eastAsia="宋体" w:cs="Times New Roman"/>
      <w:szCs w:val="24"/>
    </w:rPr>
  </w:style>
  <w:style w:type="paragraph" w:styleId="54">
    <w:name w:val="List Paragraph"/>
    <w:basedOn w:val="1"/>
    <w:qFormat/>
    <w:uiPriority w:val="99"/>
    <w:pPr>
      <w:ind w:firstLine="420" w:firstLineChars="200"/>
    </w:pPr>
  </w:style>
  <w:style w:type="character" w:customStyle="1" w:styleId="55">
    <w:name w:val="标题 3 字符"/>
    <w:basedOn w:val="24"/>
    <w:link w:val="5"/>
    <w:qFormat/>
    <w:uiPriority w:val="0"/>
    <w:rPr>
      <w:rFonts w:ascii="宋体"/>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4397</Words>
  <Characters>25064</Characters>
  <Lines>208</Lines>
  <Paragraphs>58</Paragraphs>
  <TotalTime>3</TotalTime>
  <ScaleCrop>false</ScaleCrop>
  <LinksUpToDate>false</LinksUpToDate>
  <CharactersWithSpaces>29403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2021-04-30T08:06:00Z</cp:lastPrinted>
  <dcterms:modified xsi:type="dcterms:W3CDTF">2021-09-14T04:06:23Z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B34F5F39FF2D4946A09E776186DC96E2</vt:lpwstr>
  </property>
</Properties>
</file>