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auto"/>
          <w:sz w:val="48"/>
          <w:szCs w:val="48"/>
          <w:highlight w:val="none"/>
          <w:lang w:eastAsia="zh-CN"/>
        </w:rPr>
      </w:pPr>
    </w:p>
    <w:p>
      <w:pPr>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安庆职业技术学院2021年度国有资产清查及专项审计业务第三方中介机构采购（二次）</w:t>
      </w:r>
    </w:p>
    <w:p>
      <w:pPr>
        <w:spacing w:line="360" w:lineRule="auto"/>
        <w:jc w:val="center"/>
        <w:rPr>
          <w:rFonts w:hint="eastAsia" w:ascii="宋体" w:hAnsi="宋体" w:cs="宋体"/>
          <w:b/>
          <w:color w:val="auto"/>
          <w:sz w:val="48"/>
          <w:szCs w:val="48"/>
          <w:highlight w:val="none"/>
          <w:lang w:eastAsia="zh-CN"/>
        </w:rPr>
      </w:pPr>
    </w:p>
    <w:p>
      <w:pPr>
        <w:spacing w:line="360" w:lineRule="auto"/>
        <w:jc w:val="center"/>
        <w:rPr>
          <w:rFonts w:ascii="宋体" w:hAnsi="宋体" w:cs="宋体"/>
          <w:b/>
          <w:color w:val="auto"/>
          <w:sz w:val="110"/>
          <w:szCs w:val="110"/>
          <w:highlight w:val="none"/>
        </w:rPr>
      </w:pPr>
      <w:r>
        <w:rPr>
          <w:rFonts w:hint="eastAsia" w:ascii="宋体" w:hAnsi="宋体" w:cs="宋体"/>
          <w:b/>
          <w:color w:val="auto"/>
          <w:sz w:val="110"/>
          <w:szCs w:val="110"/>
          <w:highlight w:val="none"/>
        </w:rPr>
        <w:t xml:space="preserve"> 竞争性谈判文件</w:t>
      </w:r>
    </w:p>
    <w:p>
      <w:pPr>
        <w:spacing w:line="360" w:lineRule="auto"/>
        <w:jc w:val="center"/>
        <w:rPr>
          <w:rFonts w:hint="eastAsia" w:ascii="宋体" w:hAnsi="宋体" w:eastAsia="宋体" w:cs="宋体"/>
          <w:b/>
          <w:color w:val="auto"/>
          <w:sz w:val="24"/>
          <w:szCs w:val="32"/>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CG-AZ-2021-016</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Cs w:val="21"/>
          <w:highlight w:val="none"/>
          <w:lang w:val="en-US"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lang w:eastAsia="zh-CN"/>
        </w:rPr>
        <w:t>安庆职业技术学院</w:t>
      </w:r>
      <w:r>
        <w:rPr>
          <w:rFonts w:hint="eastAsia" w:ascii="宋体" w:hAnsi="宋体" w:cs="宋体"/>
          <w:b/>
          <w:color w:val="auto"/>
          <w:spacing w:val="40"/>
          <w:sz w:val="30"/>
          <w:szCs w:val="30"/>
          <w:highlight w:val="none"/>
          <w:u w:val="single"/>
          <w:lang w:val="en-US" w:eastAsia="zh-CN"/>
        </w:rPr>
        <w:t xml:space="preserve"> </w:t>
      </w:r>
      <w:r>
        <w:rPr>
          <w:rFonts w:hint="eastAsia" w:ascii="宋体" w:hAnsi="宋体" w:cs="宋体"/>
          <w:b/>
          <w:color w:val="auto"/>
          <w:spacing w:val="40"/>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val="en-US" w:eastAsia="zh-CN"/>
        </w:rPr>
        <w:t>代理</w:t>
      </w:r>
      <w:r>
        <w:rPr>
          <w:rFonts w:hint="eastAsia" w:ascii="宋体" w:hAnsi="宋体" w:cs="宋体"/>
          <w:b/>
          <w:color w:val="auto"/>
          <w:sz w:val="30"/>
          <w:szCs w:val="30"/>
          <w:highlight w:val="none"/>
        </w:rPr>
        <w:t>机构：</w:t>
      </w:r>
      <w:r>
        <w:rPr>
          <w:rFonts w:hint="eastAsia" w:ascii="宋体" w:hAnsi="宋体" w:cs="宋体"/>
          <w:b/>
          <w:color w:val="auto"/>
          <w:sz w:val="30"/>
          <w:szCs w:val="30"/>
          <w:highlight w:val="none"/>
          <w:u w:val="single"/>
        </w:rPr>
        <w:t xml:space="preserve">   安庆市皖宜项目咨询管理有限公司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日  期：二〇二一 年 </w:t>
      </w: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 xml:space="preserve"> 月</w:t>
      </w:r>
    </w:p>
    <w:p>
      <w:pPr>
        <w:spacing w:line="360" w:lineRule="auto"/>
        <w:jc w:val="center"/>
        <w:rPr>
          <w:rFonts w:hint="eastAsia" w:ascii="宋体" w:hAnsi="宋体" w:cs="宋体"/>
          <w:b/>
          <w:color w:val="auto"/>
          <w:sz w:val="30"/>
          <w:szCs w:val="30"/>
          <w:highlight w:val="none"/>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示</w:t>
      </w:r>
    </w:p>
    <w:p>
      <w:pPr>
        <w:widowControl/>
        <w:spacing w:line="48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各谈判响应人：</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鉴于新冠肺炎疫情防控工作需要，要求如下：</w:t>
      </w:r>
      <w:r>
        <w:rPr>
          <w:rFonts w:ascii="仿宋" w:hAnsi="仿宋" w:eastAsia="仿宋" w:cs="仿宋"/>
          <w:bCs/>
          <w:color w:val="auto"/>
          <w:kern w:val="0"/>
          <w:sz w:val="32"/>
          <w:szCs w:val="32"/>
        </w:rPr>
        <w:t xml:space="preserve"> </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一、本项目各谈判响应人仅能派一名身体健康、无咳嗽、发烧等不良症状的法定代表人</w:t>
      </w:r>
      <w:r>
        <w:rPr>
          <w:rFonts w:hint="eastAsia" w:ascii="仿宋" w:hAnsi="仿宋" w:eastAsia="仿宋" w:cs="仿宋"/>
          <w:bCs/>
          <w:color w:val="auto"/>
          <w:kern w:val="0"/>
          <w:sz w:val="32"/>
          <w:szCs w:val="32"/>
          <w:lang w:val="en-US" w:eastAsia="zh-CN"/>
        </w:rPr>
        <w:t>或执行事务合伙人</w:t>
      </w:r>
      <w:r>
        <w:rPr>
          <w:rFonts w:hint="eastAsia" w:ascii="仿宋" w:hAnsi="仿宋" w:eastAsia="仿宋" w:cs="仿宋"/>
          <w:bCs/>
          <w:color w:val="auto"/>
          <w:kern w:val="0"/>
          <w:sz w:val="32"/>
          <w:szCs w:val="32"/>
        </w:rPr>
        <w:t>或其委托代理人到达开标现场。</w:t>
      </w:r>
      <w:r>
        <w:rPr>
          <w:rFonts w:hint="eastAsia" w:ascii="仿宋" w:hAnsi="仿宋" w:eastAsia="仿宋" w:cs="仿宋"/>
          <w:b/>
          <w:bCs/>
          <w:color w:val="auto"/>
          <w:kern w:val="0"/>
          <w:sz w:val="32"/>
          <w:szCs w:val="32"/>
        </w:rPr>
        <w:t>法定代表人或执行事务合伙人其委托代理人须符合以下情形，否则谈判响应文件将不予接收。</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kern w:val="0"/>
          <w:sz w:val="32"/>
          <w:szCs w:val="32"/>
        </w:rPr>
        <w:t>1、</w:t>
      </w:r>
      <w:r>
        <w:rPr>
          <w:rFonts w:ascii="仿宋" w:hAnsi="仿宋" w:eastAsia="仿宋" w:cs="仿宋"/>
          <w:bCs/>
          <w:color w:val="auto"/>
          <w:kern w:val="0"/>
          <w:sz w:val="32"/>
          <w:szCs w:val="32"/>
        </w:rPr>
        <w:t>居民身份证上住址属于疫情低风险区域。疫情低风险区域的证明材料包括：</w:t>
      </w:r>
      <w:r>
        <w:rPr>
          <w:rFonts w:hint="eastAsia" w:ascii="仿宋" w:hAnsi="仿宋" w:eastAsia="仿宋" w:cs="仿宋"/>
          <w:bCs/>
          <w:color w:val="auto"/>
          <w:kern w:val="0"/>
          <w:sz w:val="32"/>
          <w:szCs w:val="32"/>
          <w:lang w:val="en-US" w:eastAsia="zh-CN"/>
        </w:rPr>
        <w:t>2021</w:t>
      </w:r>
      <w:r>
        <w:rPr>
          <w:rFonts w:ascii="仿宋" w:hAnsi="仿宋" w:eastAsia="仿宋" w:cs="仿宋"/>
          <w:bCs/>
          <w:color w:val="auto"/>
          <w:kern w:val="0"/>
          <w:sz w:val="32"/>
          <w:szCs w:val="32"/>
        </w:rPr>
        <w:t>年</w:t>
      </w:r>
      <w:r>
        <w:rPr>
          <w:rFonts w:hint="eastAsia" w:ascii="仿宋" w:hAnsi="仿宋" w:eastAsia="仿宋" w:cs="仿宋"/>
          <w:bCs/>
          <w:color w:val="auto"/>
          <w:kern w:val="0"/>
          <w:sz w:val="32"/>
          <w:szCs w:val="32"/>
          <w:lang w:val="en-US" w:eastAsia="zh-CN"/>
        </w:rPr>
        <w:t>8</w:t>
      </w:r>
      <w:r>
        <w:rPr>
          <w:rFonts w:ascii="仿宋" w:hAnsi="仿宋" w:eastAsia="仿宋" w:cs="仿宋"/>
          <w:bCs/>
          <w:color w:val="auto"/>
          <w:kern w:val="0"/>
          <w:sz w:val="32"/>
          <w:szCs w:val="32"/>
        </w:rPr>
        <w:t>月</w:t>
      </w:r>
      <w:r>
        <w:rPr>
          <w:rFonts w:hint="eastAsia" w:ascii="仿宋" w:hAnsi="仿宋" w:eastAsia="仿宋" w:cs="仿宋"/>
          <w:bCs/>
          <w:color w:val="auto"/>
          <w:kern w:val="0"/>
          <w:sz w:val="32"/>
          <w:szCs w:val="32"/>
          <w:lang w:val="en-US" w:eastAsia="zh-CN"/>
        </w:rPr>
        <w:t>24</w:t>
      </w:r>
      <w:r>
        <w:rPr>
          <w:rFonts w:ascii="仿宋" w:hAnsi="仿宋" w:eastAsia="仿宋" w:cs="仿宋"/>
          <w:bCs/>
          <w:color w:val="auto"/>
          <w:kern w:val="0"/>
          <w:sz w:val="32"/>
          <w:szCs w:val="32"/>
        </w:rPr>
        <w:t>日24时前最新发布的政府行政部门官网截图（或网址链接），或社居委或卫生主管部门等政府部门出具的书面证明材料；</w:t>
      </w:r>
      <w:r>
        <w:rPr>
          <w:rFonts w:ascii="仿宋" w:hAnsi="仿宋" w:eastAsia="仿宋" w:cs="仿宋"/>
          <w:bCs/>
          <w:color w:val="auto"/>
          <w:kern w:val="0"/>
          <w:sz w:val="32"/>
          <w:szCs w:val="32"/>
        </w:rPr>
        <w:br w:type="textWrapping"/>
      </w:r>
      <w:r>
        <w:rPr>
          <w:rFonts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rPr>
        <w:t>2、</w:t>
      </w:r>
      <w:r>
        <w:rPr>
          <w:rFonts w:ascii="仿宋" w:hAnsi="仿宋" w:eastAsia="仿宋" w:cs="仿宋"/>
          <w:bCs/>
          <w:color w:val="auto"/>
          <w:kern w:val="0"/>
          <w:sz w:val="32"/>
          <w:szCs w:val="32"/>
        </w:rPr>
        <w:t>健康码须为“绿码”。</w:t>
      </w:r>
    </w:p>
    <w:p>
      <w:pPr>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二、鉴于新冠肺炎疫情防控工作需要，建议谈判响应人至少提前30分钟到达开标会现场。</w:t>
      </w:r>
    </w:p>
    <w:p>
      <w:pPr>
        <w:ind w:firstLine="640" w:firstLineChars="200"/>
        <w:rPr>
          <w:rFonts w:ascii="仿宋" w:hAnsi="仿宋" w:eastAsia="仿宋" w:cs="仿宋"/>
          <w:bCs/>
          <w:color w:val="auto"/>
          <w:kern w:val="0"/>
          <w:sz w:val="32"/>
          <w:szCs w:val="32"/>
        </w:rPr>
      </w:pPr>
    </w:p>
    <w:p>
      <w:pPr>
        <w:ind w:firstLine="640" w:firstLineChars="200"/>
        <w:rPr>
          <w:rFonts w:ascii="仿宋" w:hAnsi="仿宋" w:eastAsia="仿宋" w:cs="仿宋"/>
          <w:bCs/>
          <w:color w:val="auto"/>
          <w:kern w:val="0"/>
          <w:sz w:val="32"/>
          <w:szCs w:val="32"/>
        </w:rPr>
      </w:pPr>
    </w:p>
    <w:p>
      <w:pPr>
        <w:ind w:firstLine="640" w:firstLineChars="200"/>
        <w:rPr>
          <w:rFonts w:ascii="仿宋" w:hAnsi="仿宋" w:eastAsia="仿宋" w:cs="仿宋"/>
          <w:bCs/>
          <w:color w:val="auto"/>
          <w:kern w:val="0"/>
          <w:sz w:val="32"/>
          <w:szCs w:val="32"/>
        </w:rPr>
      </w:pPr>
    </w:p>
    <w:p>
      <w:pPr>
        <w:ind w:firstLine="640" w:firstLineChars="200"/>
        <w:rPr>
          <w:rFonts w:ascii="仿宋" w:hAnsi="仿宋" w:eastAsia="仿宋" w:cs="仿宋"/>
          <w:bCs/>
          <w:color w:val="auto"/>
          <w:kern w:val="0"/>
          <w:sz w:val="32"/>
          <w:szCs w:val="32"/>
        </w:rPr>
      </w:pPr>
    </w:p>
    <w:p>
      <w:pPr>
        <w:ind w:firstLine="640" w:firstLineChars="200"/>
        <w:rPr>
          <w:rFonts w:ascii="仿宋" w:hAnsi="仿宋" w:eastAsia="仿宋" w:cs="仿宋"/>
          <w:bCs/>
          <w:color w:val="auto"/>
          <w:kern w:val="0"/>
          <w:sz w:val="32"/>
          <w:szCs w:val="32"/>
        </w:rPr>
      </w:pPr>
    </w:p>
    <w:p>
      <w:pPr>
        <w:ind w:firstLine="640" w:firstLineChars="200"/>
        <w:rPr>
          <w:rFonts w:ascii="仿宋" w:hAnsi="仿宋" w:eastAsia="仿宋" w:cs="仿宋"/>
          <w:bCs/>
          <w:color w:val="auto"/>
          <w:kern w:val="0"/>
          <w:sz w:val="32"/>
          <w:szCs w:val="32"/>
        </w:rPr>
      </w:pPr>
    </w:p>
    <w:p>
      <w:pPr>
        <w:widowControl/>
        <w:spacing w:line="480" w:lineRule="auto"/>
        <w:jc w:val="center"/>
        <w:rPr>
          <w:rFonts w:ascii="黑体" w:hAnsi="黑体" w:eastAsia="黑体" w:cs="宋体"/>
          <w:b/>
          <w:color w:val="auto"/>
          <w:kern w:val="0"/>
          <w:sz w:val="32"/>
          <w:szCs w:val="32"/>
        </w:rPr>
      </w:pPr>
      <w:r>
        <w:rPr>
          <w:rFonts w:hint="eastAsia" w:ascii="黑体" w:hAnsi="黑体" w:eastAsia="黑体" w:cs="宋体"/>
          <w:b/>
          <w:color w:val="auto"/>
          <w:kern w:val="0"/>
          <w:sz w:val="32"/>
          <w:szCs w:val="32"/>
        </w:rPr>
        <w:t>重  要  提  醒</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10.领导干部违反规定插手干预项目招投标活动。 </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11.干部职工在招投标活动中与黑恶势力勾结，充当保护伞。</w:t>
      </w: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hint="eastAsia" w:ascii="宋体" w:hAnsi="宋体" w:cs="宋体"/>
          <w:b/>
          <w:color w:val="auto"/>
          <w:kern w:val="0"/>
          <w:sz w:val="24"/>
        </w:rPr>
      </w:pP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1、请依据项目资格要求，自行核对营业执照合法有效。</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2、法定代表人</w:t>
      </w:r>
      <w:r>
        <w:rPr>
          <w:rFonts w:hint="eastAsia" w:ascii="宋体" w:hAnsi="宋体" w:cs="宋体"/>
          <w:b/>
          <w:color w:val="auto"/>
          <w:kern w:val="0"/>
          <w:sz w:val="24"/>
          <w:lang w:val="en-US" w:eastAsia="zh-CN"/>
        </w:rPr>
        <w:t>或执行事务合伙人</w:t>
      </w:r>
      <w:r>
        <w:rPr>
          <w:rFonts w:hint="eastAsia" w:ascii="宋体" w:hAnsi="宋体" w:cs="宋体"/>
          <w:b/>
          <w:color w:val="auto"/>
          <w:kern w:val="0"/>
          <w:sz w:val="24"/>
        </w:rPr>
        <w:t>应出示有效二代居民身份证或委托代理人应出示授权书用于开标现场查验；</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lang w:val="en-US" w:eastAsia="zh-CN"/>
        </w:rPr>
        <w:t>3、</w:t>
      </w:r>
      <w:r>
        <w:rPr>
          <w:rFonts w:hint="eastAsia" w:ascii="宋体" w:hAnsi="宋体" w:cs="宋体"/>
          <w:b/>
          <w:color w:val="auto"/>
          <w:kern w:val="0"/>
          <w:sz w:val="24"/>
        </w:rPr>
        <w:t>谈判响应人代表在参加开标会时须携带有效身份证；</w:t>
      </w:r>
    </w:p>
    <w:p>
      <w:pPr>
        <w:widowControl/>
        <w:spacing w:line="480" w:lineRule="auto"/>
        <w:ind w:firstLine="482" w:firstLineChars="200"/>
        <w:jc w:val="left"/>
        <w:rPr>
          <w:rFonts w:ascii="宋体" w:hAnsi="宋体" w:cs="宋体"/>
          <w:b/>
          <w:color w:val="auto"/>
          <w:kern w:val="0"/>
          <w:sz w:val="24"/>
        </w:rPr>
      </w:pPr>
      <w:r>
        <w:rPr>
          <w:rFonts w:hint="eastAsia" w:ascii="宋体" w:hAnsi="宋体" w:cs="宋体"/>
          <w:b/>
          <w:color w:val="auto"/>
          <w:kern w:val="0"/>
          <w:sz w:val="24"/>
          <w:lang w:val="en-US" w:eastAsia="zh-CN"/>
        </w:rPr>
        <w:t>4</w:t>
      </w:r>
      <w:r>
        <w:rPr>
          <w:rFonts w:hint="eastAsia" w:ascii="宋体" w:hAnsi="宋体" w:cs="宋体"/>
          <w:b/>
          <w:color w:val="auto"/>
          <w:kern w:val="0"/>
          <w:sz w:val="24"/>
        </w:rPr>
        <w:t>、对投标活动中可能发生的质疑、投诉行为，须依法在规定的时间内提出。</w:t>
      </w:r>
    </w:p>
    <w:p>
      <w:pPr>
        <w:widowControl/>
        <w:jc w:val="left"/>
        <w:rPr>
          <w:rFonts w:ascii="仿宋" w:hAnsi="仿宋" w:eastAsia="仿宋" w:cs="仿宋"/>
          <w:bCs/>
          <w:color w:val="auto"/>
          <w:kern w:val="0"/>
          <w:sz w:val="32"/>
          <w:szCs w:val="32"/>
        </w:rPr>
      </w:pPr>
      <w:r>
        <w:rPr>
          <w:rFonts w:ascii="宋体" w:hAnsi="宋体" w:cs="宋体"/>
          <w:b/>
          <w:color w:val="auto"/>
          <w:kern w:val="0"/>
          <w:sz w:val="24"/>
        </w:rPr>
        <w:br w:type="page"/>
      </w:r>
    </w:p>
    <w:p>
      <w:pPr>
        <w:widowControl/>
        <w:jc w:val="left"/>
        <w:rPr>
          <w:rFonts w:ascii="宋体" w:hAnsi="宋体" w:cs="宋体"/>
          <w:b/>
          <w:color w:val="auto"/>
          <w:kern w:val="0"/>
          <w:sz w:val="24"/>
        </w:rPr>
      </w:pPr>
    </w:p>
    <w:p>
      <w:pPr>
        <w:jc w:val="center"/>
        <w:rPr>
          <w:rFonts w:ascii="宋体" w:hAnsi="宋体" w:cs="宋体"/>
          <w:b/>
          <w:color w:val="auto"/>
          <w:sz w:val="36"/>
          <w:szCs w:val="36"/>
        </w:rPr>
      </w:pPr>
      <w:r>
        <w:rPr>
          <w:rFonts w:hint="eastAsia" w:ascii="宋体" w:hAnsi="宋体" w:cs="宋体"/>
          <w:b/>
          <w:color w:val="auto"/>
          <w:sz w:val="36"/>
          <w:szCs w:val="36"/>
        </w:rPr>
        <w:t>目   录</w:t>
      </w:r>
    </w:p>
    <w:p>
      <w:pPr>
        <w:pStyle w:val="18"/>
        <w:rPr>
          <w:rFonts w:asciiTheme="minorHAnsi" w:hAnsiTheme="minorHAnsi" w:eastAsiaTheme="minorEastAsia" w:cstheme="minorBidi"/>
          <w:color w:val="auto"/>
          <w:sz w:val="21"/>
          <w:szCs w:val="22"/>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"_Toc54939187" </w:instrText>
      </w:r>
      <w:r>
        <w:rPr>
          <w:color w:val="auto"/>
        </w:rPr>
        <w:fldChar w:fldCharType="separate"/>
      </w:r>
      <w:r>
        <w:rPr>
          <w:rStyle w:val="30"/>
          <w:rFonts w:ascii="宋体" w:hAnsi="宋体" w:cs="宋体"/>
          <w:b/>
          <w:bCs/>
          <w:color w:val="auto"/>
        </w:rPr>
        <w:t>第一章   竞争性谈判</w:t>
      </w:r>
      <w:r>
        <w:rPr>
          <w:rStyle w:val="30"/>
          <w:rFonts w:hint="eastAsia" w:ascii="宋体" w:hAnsi="宋体" w:cs="宋体"/>
          <w:b/>
          <w:bCs/>
          <w:color w:val="auto"/>
          <w:lang w:val="en-US" w:eastAsia="zh-CN"/>
        </w:rPr>
        <w:t>邀请书</w:t>
      </w:r>
      <w:r>
        <w:rPr>
          <w:color w:val="auto"/>
        </w:rPr>
        <w:tab/>
      </w:r>
      <w:r>
        <w:rPr>
          <w:color w:val="auto"/>
        </w:rPr>
        <w:fldChar w:fldCharType="begin"/>
      </w:r>
      <w:r>
        <w:rPr>
          <w:color w:val="auto"/>
        </w:rPr>
        <w:instrText xml:space="preserve"> PAGEREF _Toc54939187 \h </w:instrText>
      </w:r>
      <w:r>
        <w:rPr>
          <w:color w:val="auto"/>
        </w:rPr>
        <w:fldChar w:fldCharType="separate"/>
      </w:r>
      <w:r>
        <w:rPr>
          <w:color w:val="auto"/>
        </w:rPr>
        <w:t>1</w:t>
      </w:r>
      <w:r>
        <w:rPr>
          <w:color w:val="auto"/>
        </w:rPr>
        <w:fldChar w:fldCharType="end"/>
      </w:r>
      <w:r>
        <w:rPr>
          <w:color w:val="auto"/>
        </w:rPr>
        <w:fldChar w:fldCharType="end"/>
      </w:r>
    </w:p>
    <w:p>
      <w:pPr>
        <w:pStyle w:val="18"/>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"_Toc54939188" </w:instrText>
      </w:r>
      <w:r>
        <w:rPr>
          <w:color w:val="auto"/>
        </w:rPr>
        <w:fldChar w:fldCharType="separate"/>
      </w:r>
      <w:r>
        <w:rPr>
          <w:rStyle w:val="30"/>
          <w:rFonts w:ascii="宋体" w:hAnsi="宋体" w:cs="宋体"/>
          <w:color w:val="auto"/>
        </w:rPr>
        <w:t>第二章   谈判响应人须知</w:t>
      </w:r>
      <w:r>
        <w:rPr>
          <w:color w:val="auto"/>
        </w:rPr>
        <w:tab/>
      </w:r>
      <w:r>
        <w:rPr>
          <w:color w:val="auto"/>
        </w:rPr>
        <w:fldChar w:fldCharType="begin"/>
      </w:r>
      <w:r>
        <w:rPr>
          <w:color w:val="auto"/>
        </w:rPr>
        <w:instrText xml:space="preserve"> PAGEREF _Toc54939188 \h </w:instrText>
      </w:r>
      <w:r>
        <w:rPr>
          <w:color w:val="auto"/>
        </w:rPr>
        <w:fldChar w:fldCharType="separate"/>
      </w:r>
      <w:r>
        <w:rPr>
          <w:color w:val="auto"/>
        </w:rPr>
        <w:t>1</w:t>
      </w:r>
      <w:r>
        <w:rPr>
          <w:color w:val="auto"/>
        </w:rPr>
        <w:fldChar w:fldCharType="end"/>
      </w:r>
      <w:r>
        <w:rPr>
          <w:color w:val="auto"/>
        </w:rPr>
        <w:fldChar w:fldCharType="end"/>
      </w:r>
    </w:p>
    <w:p>
      <w:pPr>
        <w:pStyle w:val="19"/>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"_Toc54939189" </w:instrText>
      </w:r>
      <w:r>
        <w:rPr>
          <w:color w:val="auto"/>
        </w:rPr>
        <w:fldChar w:fldCharType="separate"/>
      </w:r>
      <w:r>
        <w:rPr>
          <w:rStyle w:val="30"/>
          <w:rFonts w:ascii="宋体" w:hAnsi="宋体"/>
          <w:color w:val="auto"/>
        </w:rPr>
        <w:t>第一节  谈判响应人须知前附表</w:t>
      </w:r>
      <w:r>
        <w:rPr>
          <w:color w:val="auto"/>
        </w:rPr>
        <w:tab/>
      </w:r>
      <w:r>
        <w:rPr>
          <w:color w:val="auto"/>
        </w:rPr>
        <w:fldChar w:fldCharType="begin"/>
      </w:r>
      <w:r>
        <w:rPr>
          <w:color w:val="auto"/>
        </w:rPr>
        <w:instrText xml:space="preserve"> PAGEREF _Toc54939189 \h </w:instrText>
      </w:r>
      <w:r>
        <w:rPr>
          <w:color w:val="auto"/>
        </w:rPr>
        <w:fldChar w:fldCharType="separate"/>
      </w:r>
      <w:r>
        <w:rPr>
          <w:color w:val="auto"/>
        </w:rPr>
        <w:t>3</w:t>
      </w:r>
      <w:r>
        <w:rPr>
          <w:color w:val="auto"/>
        </w:rPr>
        <w:fldChar w:fldCharType="end"/>
      </w:r>
      <w:r>
        <w:rPr>
          <w:color w:val="auto"/>
        </w:rPr>
        <w:fldChar w:fldCharType="end"/>
      </w:r>
    </w:p>
    <w:p>
      <w:pPr>
        <w:pStyle w:val="19"/>
        <w:tabs>
          <w:tab w:val="right" w:leader="dot" w:pos="9060"/>
        </w:tabs>
        <w:ind w:left="420"/>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"_Toc54939190" </w:instrText>
      </w:r>
      <w:r>
        <w:rPr>
          <w:color w:val="auto"/>
        </w:rPr>
        <w:fldChar w:fldCharType="separate"/>
      </w:r>
      <w:r>
        <w:rPr>
          <w:rStyle w:val="30"/>
          <w:rFonts w:ascii="宋体" w:hAnsi="宋体"/>
          <w:color w:val="auto"/>
        </w:rPr>
        <w:t>第二节  谈判响应人须知</w:t>
      </w:r>
      <w:r>
        <w:rPr>
          <w:color w:val="auto"/>
        </w:rPr>
        <w:tab/>
      </w:r>
      <w:r>
        <w:rPr>
          <w:color w:val="auto"/>
        </w:rPr>
        <w:fldChar w:fldCharType="begin"/>
      </w:r>
      <w:r>
        <w:rPr>
          <w:color w:val="auto"/>
        </w:rPr>
        <w:instrText xml:space="preserve"> PAGEREF _Toc54939190 \h </w:instrText>
      </w:r>
      <w:r>
        <w:rPr>
          <w:color w:val="auto"/>
        </w:rPr>
        <w:fldChar w:fldCharType="separate"/>
      </w:r>
      <w:r>
        <w:rPr>
          <w:color w:val="auto"/>
        </w:rPr>
        <w:t>5</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"_Toc54939191" </w:instrText>
      </w:r>
      <w:r>
        <w:rPr>
          <w:color w:val="auto"/>
        </w:rPr>
        <w:fldChar w:fldCharType="separate"/>
      </w:r>
      <w:r>
        <w:rPr>
          <w:rStyle w:val="30"/>
          <w:rFonts w:hAnsi="宋体" w:cs="宋体"/>
          <w:color w:val="auto"/>
        </w:rPr>
        <w:t>一、总则</w:t>
      </w:r>
      <w:r>
        <w:rPr>
          <w:color w:val="auto"/>
        </w:rPr>
        <w:tab/>
      </w:r>
      <w:r>
        <w:rPr>
          <w:color w:val="auto"/>
        </w:rPr>
        <w:fldChar w:fldCharType="begin"/>
      </w:r>
      <w:r>
        <w:rPr>
          <w:color w:val="auto"/>
        </w:rPr>
        <w:instrText xml:space="preserve"> PAGEREF _Toc54939191 \h </w:instrText>
      </w:r>
      <w:r>
        <w:rPr>
          <w:color w:val="auto"/>
        </w:rPr>
        <w:fldChar w:fldCharType="separate"/>
      </w:r>
      <w:r>
        <w:rPr>
          <w:color w:val="auto"/>
        </w:rPr>
        <w:t>5</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"_Toc54939192" </w:instrText>
      </w:r>
      <w:r>
        <w:rPr>
          <w:color w:val="auto"/>
        </w:rPr>
        <w:fldChar w:fldCharType="separate"/>
      </w:r>
      <w:r>
        <w:rPr>
          <w:rStyle w:val="30"/>
          <w:rFonts w:hAnsi="宋体" w:cs="宋体"/>
          <w:color w:val="auto"/>
        </w:rPr>
        <w:t>二、竞争性谈判文件</w:t>
      </w:r>
      <w:r>
        <w:rPr>
          <w:color w:val="auto"/>
        </w:rPr>
        <w:tab/>
      </w:r>
      <w:r>
        <w:rPr>
          <w:color w:val="auto"/>
        </w:rPr>
        <w:fldChar w:fldCharType="begin"/>
      </w:r>
      <w:r>
        <w:rPr>
          <w:color w:val="auto"/>
        </w:rPr>
        <w:instrText xml:space="preserve"> PAGEREF _Toc54939192 \h </w:instrText>
      </w:r>
      <w:r>
        <w:rPr>
          <w:color w:val="auto"/>
        </w:rPr>
        <w:fldChar w:fldCharType="separate"/>
      </w:r>
      <w:r>
        <w:rPr>
          <w:color w:val="auto"/>
        </w:rPr>
        <w:t>6</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"_Toc54939193" </w:instrText>
      </w:r>
      <w:r>
        <w:rPr>
          <w:color w:val="auto"/>
        </w:rPr>
        <w:fldChar w:fldCharType="separate"/>
      </w:r>
      <w:r>
        <w:rPr>
          <w:rStyle w:val="30"/>
          <w:rFonts w:hAnsi="宋体" w:cs="宋体"/>
          <w:color w:val="auto"/>
        </w:rPr>
        <w:t>三、谈判响应文件的编制</w:t>
      </w:r>
      <w:r>
        <w:rPr>
          <w:color w:val="auto"/>
        </w:rPr>
        <w:tab/>
      </w:r>
      <w:r>
        <w:rPr>
          <w:color w:val="auto"/>
        </w:rPr>
        <w:fldChar w:fldCharType="begin"/>
      </w:r>
      <w:r>
        <w:rPr>
          <w:color w:val="auto"/>
        </w:rPr>
        <w:instrText xml:space="preserve"> PAGEREF _Toc54939193 \h </w:instrText>
      </w:r>
      <w:r>
        <w:rPr>
          <w:color w:val="auto"/>
        </w:rPr>
        <w:fldChar w:fldCharType="separate"/>
      </w:r>
      <w:r>
        <w:rPr>
          <w:color w:val="auto"/>
        </w:rPr>
        <w:t>7</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"_Toc54939194" </w:instrText>
      </w:r>
      <w:r>
        <w:rPr>
          <w:color w:val="auto"/>
        </w:rPr>
        <w:fldChar w:fldCharType="separate"/>
      </w:r>
      <w:r>
        <w:rPr>
          <w:rStyle w:val="30"/>
          <w:rFonts w:hAnsi="宋体" w:cs="宋体"/>
          <w:color w:val="auto"/>
        </w:rPr>
        <w:t>四、 谈判响应文件的提交</w:t>
      </w:r>
      <w:r>
        <w:rPr>
          <w:color w:val="auto"/>
        </w:rPr>
        <w:tab/>
      </w:r>
      <w:r>
        <w:rPr>
          <w:color w:val="auto"/>
        </w:rPr>
        <w:fldChar w:fldCharType="begin"/>
      </w:r>
      <w:r>
        <w:rPr>
          <w:color w:val="auto"/>
        </w:rPr>
        <w:instrText xml:space="preserve"> PAGEREF _Toc54939194 \h </w:instrText>
      </w:r>
      <w:r>
        <w:rPr>
          <w:color w:val="auto"/>
        </w:rPr>
        <w:fldChar w:fldCharType="separate"/>
      </w:r>
      <w:r>
        <w:rPr>
          <w:color w:val="auto"/>
        </w:rPr>
        <w:t>10</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"_Toc54939195" </w:instrText>
      </w:r>
      <w:r>
        <w:rPr>
          <w:color w:val="auto"/>
        </w:rPr>
        <w:fldChar w:fldCharType="separate"/>
      </w:r>
      <w:r>
        <w:rPr>
          <w:rStyle w:val="30"/>
          <w:rFonts w:hAnsi="宋体" w:cs="宋体"/>
          <w:color w:val="auto"/>
        </w:rPr>
        <w:t>五、谈判程序</w:t>
      </w:r>
      <w:r>
        <w:rPr>
          <w:color w:val="auto"/>
        </w:rPr>
        <w:tab/>
      </w:r>
      <w:r>
        <w:rPr>
          <w:color w:val="auto"/>
        </w:rPr>
        <w:fldChar w:fldCharType="begin"/>
      </w:r>
      <w:r>
        <w:rPr>
          <w:color w:val="auto"/>
        </w:rPr>
        <w:instrText xml:space="preserve"> PAGEREF _Toc54939195 \h </w:instrText>
      </w:r>
      <w:r>
        <w:rPr>
          <w:color w:val="auto"/>
        </w:rPr>
        <w:fldChar w:fldCharType="separate"/>
      </w:r>
      <w:r>
        <w:rPr>
          <w:color w:val="auto"/>
        </w:rPr>
        <w:t>11</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"_Toc54939196" </w:instrText>
      </w:r>
      <w:r>
        <w:rPr>
          <w:color w:val="auto"/>
        </w:rPr>
        <w:fldChar w:fldCharType="separate"/>
      </w:r>
      <w:r>
        <w:rPr>
          <w:rStyle w:val="30"/>
          <w:rFonts w:hAnsi="宋体" w:cs="宋体"/>
          <w:color w:val="auto"/>
        </w:rPr>
        <w:t>六、谈判</w:t>
      </w:r>
      <w:r>
        <w:rPr>
          <w:color w:val="auto"/>
        </w:rPr>
        <w:tab/>
      </w:r>
      <w:r>
        <w:rPr>
          <w:color w:val="auto"/>
        </w:rPr>
        <w:fldChar w:fldCharType="begin"/>
      </w:r>
      <w:r>
        <w:rPr>
          <w:color w:val="auto"/>
        </w:rPr>
        <w:instrText xml:space="preserve"> PAGEREF _Toc54939196 \h </w:instrText>
      </w:r>
      <w:r>
        <w:rPr>
          <w:color w:val="auto"/>
        </w:rPr>
        <w:fldChar w:fldCharType="separate"/>
      </w:r>
      <w:r>
        <w:rPr>
          <w:color w:val="auto"/>
        </w:rPr>
        <w:t>13</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"_Toc54939197" </w:instrText>
      </w:r>
      <w:r>
        <w:rPr>
          <w:color w:val="auto"/>
        </w:rPr>
        <w:fldChar w:fldCharType="separate"/>
      </w:r>
      <w:r>
        <w:rPr>
          <w:rStyle w:val="30"/>
          <w:rFonts w:ascii="宋体" w:hAnsi="宋体" w:cs="宋体"/>
          <w:b/>
          <w:bCs/>
          <w:color w:val="auto"/>
        </w:rPr>
        <w:t>七、合同授予</w:t>
      </w:r>
      <w:r>
        <w:rPr>
          <w:color w:val="auto"/>
        </w:rPr>
        <w:tab/>
      </w:r>
      <w:r>
        <w:rPr>
          <w:color w:val="auto"/>
        </w:rPr>
        <w:fldChar w:fldCharType="begin"/>
      </w:r>
      <w:r>
        <w:rPr>
          <w:color w:val="auto"/>
        </w:rPr>
        <w:instrText xml:space="preserve"> PAGEREF _Toc54939197 \h </w:instrText>
      </w:r>
      <w:r>
        <w:rPr>
          <w:color w:val="auto"/>
        </w:rPr>
        <w:fldChar w:fldCharType="separate"/>
      </w:r>
      <w:r>
        <w:rPr>
          <w:color w:val="auto"/>
        </w:rPr>
        <w:t>16</w:t>
      </w:r>
      <w:r>
        <w:rPr>
          <w:color w:val="auto"/>
        </w:rPr>
        <w:fldChar w:fldCharType="end"/>
      </w:r>
      <w:r>
        <w:rPr>
          <w:color w:val="auto"/>
        </w:rPr>
        <w:fldChar w:fldCharType="end"/>
      </w:r>
    </w:p>
    <w:p>
      <w:pPr>
        <w:pStyle w:val="18"/>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"_Toc54939198" </w:instrText>
      </w:r>
      <w:r>
        <w:rPr>
          <w:color w:val="auto"/>
        </w:rPr>
        <w:fldChar w:fldCharType="separate"/>
      </w:r>
      <w:r>
        <w:rPr>
          <w:rStyle w:val="30"/>
          <w:rFonts w:ascii="宋体" w:hAnsi="宋体" w:cs="宋体"/>
          <w:color w:val="auto"/>
        </w:rPr>
        <w:t xml:space="preserve">第三章 </w:t>
      </w:r>
      <w:r>
        <w:rPr>
          <w:rStyle w:val="30"/>
          <w:rFonts w:hint="eastAsia" w:ascii="宋体" w:hAnsi="宋体" w:cs="宋体"/>
          <w:color w:val="auto"/>
          <w:lang w:val="en-US" w:eastAsia="zh-CN"/>
        </w:rPr>
        <w:t>服务</w:t>
      </w:r>
      <w:r>
        <w:rPr>
          <w:rStyle w:val="30"/>
          <w:rFonts w:hint="eastAsia" w:ascii="宋体" w:hAnsi="宋体" w:cs="宋体"/>
          <w:color w:val="auto"/>
          <w:lang w:eastAsia="zh-CN"/>
        </w:rPr>
        <w:t>需求及技术要求</w:t>
      </w:r>
      <w:r>
        <w:rPr>
          <w:color w:val="auto"/>
        </w:rPr>
        <w:tab/>
      </w:r>
      <w:r>
        <w:rPr>
          <w:color w:val="auto"/>
        </w:rPr>
        <w:fldChar w:fldCharType="begin"/>
      </w:r>
      <w:r>
        <w:rPr>
          <w:color w:val="auto"/>
        </w:rPr>
        <w:instrText xml:space="preserve"> PAGEREF _Toc54939198 \h </w:instrText>
      </w:r>
      <w:r>
        <w:rPr>
          <w:color w:val="auto"/>
        </w:rPr>
        <w:fldChar w:fldCharType="separate"/>
      </w:r>
      <w:r>
        <w:rPr>
          <w:color w:val="auto"/>
        </w:rPr>
        <w:t>18</w:t>
      </w:r>
      <w:r>
        <w:rPr>
          <w:color w:val="auto"/>
        </w:rPr>
        <w:fldChar w:fldCharType="end"/>
      </w:r>
      <w:r>
        <w:rPr>
          <w:color w:val="auto"/>
        </w:rPr>
        <w:fldChar w:fldCharType="end"/>
      </w:r>
    </w:p>
    <w:p>
      <w:pPr>
        <w:pStyle w:val="18"/>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"_Toc54939199" </w:instrText>
      </w:r>
      <w:r>
        <w:rPr>
          <w:color w:val="auto"/>
        </w:rPr>
        <w:fldChar w:fldCharType="separate"/>
      </w:r>
      <w:r>
        <w:rPr>
          <w:rStyle w:val="30"/>
          <w:rFonts w:ascii="宋体" w:hAnsi="宋体" w:cs="宋体"/>
          <w:color w:val="auto"/>
        </w:rPr>
        <w:t>第四章  合同主要条款</w:t>
      </w:r>
      <w:r>
        <w:rPr>
          <w:color w:val="auto"/>
        </w:rPr>
        <w:tab/>
      </w:r>
      <w:r>
        <w:rPr>
          <w:color w:val="auto"/>
        </w:rPr>
        <w:fldChar w:fldCharType="begin"/>
      </w:r>
      <w:r>
        <w:rPr>
          <w:color w:val="auto"/>
        </w:rPr>
        <w:instrText xml:space="preserve"> PAGEREF _Toc54939199 \h </w:instrText>
      </w:r>
      <w:r>
        <w:rPr>
          <w:color w:val="auto"/>
        </w:rPr>
        <w:fldChar w:fldCharType="separate"/>
      </w:r>
      <w:r>
        <w:rPr>
          <w:color w:val="auto"/>
        </w:rPr>
        <w:t>20</w:t>
      </w:r>
      <w:r>
        <w:rPr>
          <w:color w:val="auto"/>
        </w:rPr>
        <w:fldChar w:fldCharType="end"/>
      </w:r>
      <w:r>
        <w:rPr>
          <w:color w:val="auto"/>
        </w:rPr>
        <w:fldChar w:fldCharType="end"/>
      </w:r>
    </w:p>
    <w:p>
      <w:pPr>
        <w:pStyle w:val="18"/>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"_Toc54939200" </w:instrText>
      </w:r>
      <w:r>
        <w:rPr>
          <w:color w:val="auto"/>
        </w:rPr>
        <w:fldChar w:fldCharType="separate"/>
      </w:r>
      <w:r>
        <w:rPr>
          <w:rStyle w:val="30"/>
          <w:rFonts w:ascii="宋体" w:hAnsi="宋体" w:cs="宋体"/>
          <w:color w:val="auto"/>
        </w:rPr>
        <w:t>第五章   谈判响应文件格式</w:t>
      </w:r>
      <w:r>
        <w:rPr>
          <w:color w:val="auto"/>
        </w:rPr>
        <w:tab/>
      </w:r>
      <w:r>
        <w:rPr>
          <w:color w:val="auto"/>
        </w:rPr>
        <w:fldChar w:fldCharType="begin"/>
      </w:r>
      <w:r>
        <w:rPr>
          <w:color w:val="auto"/>
        </w:rPr>
        <w:instrText xml:space="preserve"> PAGEREF _Toc54939200 \h </w:instrText>
      </w:r>
      <w:r>
        <w:rPr>
          <w:color w:val="auto"/>
        </w:rPr>
        <w:fldChar w:fldCharType="separate"/>
      </w:r>
      <w:r>
        <w:rPr>
          <w:color w:val="auto"/>
        </w:rPr>
        <w:t>22</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"_Toc54939201" </w:instrText>
      </w:r>
      <w:r>
        <w:rPr>
          <w:color w:val="auto"/>
        </w:rPr>
        <w:fldChar w:fldCharType="separate"/>
      </w:r>
      <w:r>
        <w:rPr>
          <w:rStyle w:val="30"/>
          <w:rFonts w:hAnsi="宋体" w:cs="宋体"/>
          <w:color w:val="auto"/>
        </w:rPr>
        <w:t>一、谈判响应函</w:t>
      </w:r>
      <w:r>
        <w:rPr>
          <w:color w:val="auto"/>
        </w:rPr>
        <w:tab/>
      </w:r>
      <w:r>
        <w:rPr>
          <w:color w:val="auto"/>
        </w:rPr>
        <w:fldChar w:fldCharType="begin"/>
      </w:r>
      <w:r>
        <w:rPr>
          <w:color w:val="auto"/>
        </w:rPr>
        <w:instrText xml:space="preserve"> PAGEREF _Toc54939201 \h </w:instrText>
      </w:r>
      <w:r>
        <w:rPr>
          <w:color w:val="auto"/>
        </w:rPr>
        <w:fldChar w:fldCharType="separate"/>
      </w:r>
      <w:r>
        <w:rPr>
          <w:color w:val="auto"/>
        </w:rPr>
        <w:t>24</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"_Toc54939202" </w:instrText>
      </w:r>
      <w:r>
        <w:rPr>
          <w:color w:val="auto"/>
        </w:rPr>
        <w:fldChar w:fldCharType="separate"/>
      </w:r>
      <w:r>
        <w:rPr>
          <w:rStyle w:val="30"/>
          <w:rFonts w:hAnsi="宋体" w:cs="宋体"/>
          <w:color w:val="auto"/>
        </w:rPr>
        <w:t>二、</w:t>
      </w:r>
      <w:r>
        <w:rPr>
          <w:rStyle w:val="30"/>
          <w:rFonts w:hint="eastAsia" w:hAnsi="宋体" w:cs="宋体"/>
          <w:color w:val="auto"/>
          <w:lang w:val="en-US" w:eastAsia="zh-CN"/>
        </w:rPr>
        <w:t>服务</w:t>
      </w:r>
      <w:r>
        <w:rPr>
          <w:rStyle w:val="30"/>
          <w:rFonts w:hint="eastAsia" w:hAnsi="宋体" w:cs="宋体"/>
          <w:color w:val="auto"/>
          <w:lang w:eastAsia="zh-CN"/>
        </w:rPr>
        <w:t>报价表</w:t>
      </w:r>
      <w:r>
        <w:rPr>
          <w:rStyle w:val="30"/>
          <w:rFonts w:hAnsi="宋体" w:cs="宋体"/>
          <w:color w:val="auto"/>
        </w:rPr>
        <w:t>(首轮)</w:t>
      </w:r>
      <w:r>
        <w:rPr>
          <w:color w:val="auto"/>
        </w:rPr>
        <w:tab/>
      </w:r>
      <w:r>
        <w:rPr>
          <w:color w:val="auto"/>
        </w:rPr>
        <w:fldChar w:fldCharType="begin"/>
      </w:r>
      <w:r>
        <w:rPr>
          <w:color w:val="auto"/>
        </w:rPr>
        <w:instrText xml:space="preserve"> PAGEREF _Toc54939202 \h </w:instrText>
      </w:r>
      <w:r>
        <w:rPr>
          <w:color w:val="auto"/>
        </w:rPr>
        <w:fldChar w:fldCharType="separate"/>
      </w:r>
      <w:r>
        <w:rPr>
          <w:color w:val="auto"/>
        </w:rPr>
        <w:t>25</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"_Toc54939203" </w:instrText>
      </w:r>
      <w:r>
        <w:rPr>
          <w:color w:val="auto"/>
        </w:rPr>
        <w:fldChar w:fldCharType="separate"/>
      </w:r>
      <w:r>
        <w:rPr>
          <w:rStyle w:val="30"/>
          <w:rFonts w:hAnsi="宋体" w:cs="宋体"/>
          <w:color w:val="auto"/>
        </w:rPr>
        <w:t>最终报价表</w:t>
      </w:r>
      <w:r>
        <w:rPr>
          <w:color w:val="auto"/>
        </w:rPr>
        <w:tab/>
      </w:r>
      <w:r>
        <w:rPr>
          <w:color w:val="auto"/>
        </w:rPr>
        <w:fldChar w:fldCharType="begin"/>
      </w:r>
      <w:r>
        <w:rPr>
          <w:color w:val="auto"/>
        </w:rPr>
        <w:instrText xml:space="preserve"> PAGEREF _Toc54939203 \h </w:instrText>
      </w:r>
      <w:r>
        <w:rPr>
          <w:color w:val="auto"/>
        </w:rPr>
        <w:fldChar w:fldCharType="separate"/>
      </w:r>
      <w:r>
        <w:rPr>
          <w:color w:val="auto"/>
        </w:rPr>
        <w:t>27</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"_Toc54939204" </w:instrText>
      </w:r>
      <w:r>
        <w:rPr>
          <w:color w:val="auto"/>
        </w:rPr>
        <w:fldChar w:fldCharType="separate"/>
      </w:r>
      <w:r>
        <w:rPr>
          <w:rStyle w:val="30"/>
          <w:rFonts w:hAnsi="宋体" w:cs="宋体"/>
          <w:color w:val="auto"/>
        </w:rPr>
        <w:t>三、</w:t>
      </w:r>
      <w:r>
        <w:rPr>
          <w:rStyle w:val="30"/>
          <w:rFonts w:hint="eastAsia" w:hAnsi="宋体" w:cs="宋体"/>
          <w:color w:val="auto"/>
          <w:lang w:eastAsia="zh-CN"/>
        </w:rPr>
        <w:t>技术参数响应表</w:t>
      </w:r>
      <w:r>
        <w:rPr>
          <w:color w:val="auto"/>
        </w:rPr>
        <w:tab/>
      </w:r>
      <w:r>
        <w:rPr>
          <w:color w:val="auto"/>
        </w:rPr>
        <w:fldChar w:fldCharType="begin"/>
      </w:r>
      <w:r>
        <w:rPr>
          <w:color w:val="auto"/>
        </w:rPr>
        <w:instrText xml:space="preserve"> PAGEREF _Toc54939204 \h </w:instrText>
      </w:r>
      <w:r>
        <w:rPr>
          <w:color w:val="auto"/>
        </w:rPr>
        <w:fldChar w:fldCharType="separate"/>
      </w:r>
      <w:r>
        <w:rPr>
          <w:color w:val="auto"/>
        </w:rPr>
        <w:t>28</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"_Toc54939205" </w:instrText>
      </w:r>
      <w:r>
        <w:rPr>
          <w:color w:val="auto"/>
        </w:rPr>
        <w:fldChar w:fldCharType="separate"/>
      </w:r>
      <w:r>
        <w:rPr>
          <w:rStyle w:val="30"/>
          <w:rFonts w:hAnsi="宋体" w:cs="宋体"/>
          <w:color w:val="auto"/>
        </w:rPr>
        <w:t>四、</w:t>
      </w:r>
      <w:r>
        <w:rPr>
          <w:rStyle w:val="30"/>
          <w:rFonts w:hint="eastAsia" w:hAnsi="宋体" w:cs="宋体"/>
          <w:color w:val="auto"/>
          <w:lang w:val="en-US" w:eastAsia="zh-CN"/>
        </w:rPr>
        <w:t>供货及谈判响应技术方案</w:t>
      </w:r>
      <w:r>
        <w:rPr>
          <w:color w:val="auto"/>
        </w:rPr>
        <w:tab/>
      </w:r>
      <w:r>
        <w:rPr>
          <w:color w:val="auto"/>
        </w:rPr>
        <w:fldChar w:fldCharType="begin"/>
      </w:r>
      <w:r>
        <w:rPr>
          <w:color w:val="auto"/>
        </w:rPr>
        <w:instrText xml:space="preserve"> PAGEREF _Toc54939205 \h </w:instrText>
      </w:r>
      <w:r>
        <w:rPr>
          <w:color w:val="auto"/>
        </w:rPr>
        <w:fldChar w:fldCharType="separate"/>
      </w:r>
      <w:r>
        <w:rPr>
          <w:color w:val="auto"/>
        </w:rPr>
        <w:t>30</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"_Toc54939206" </w:instrText>
      </w:r>
      <w:r>
        <w:rPr>
          <w:color w:val="auto"/>
        </w:rPr>
        <w:fldChar w:fldCharType="separate"/>
      </w:r>
      <w:r>
        <w:rPr>
          <w:rStyle w:val="30"/>
          <w:rFonts w:hAnsi="宋体" w:cs="宋体"/>
          <w:color w:val="auto"/>
        </w:rPr>
        <w:t>五、诚信谈判响应承诺书</w:t>
      </w:r>
      <w:r>
        <w:rPr>
          <w:color w:val="auto"/>
        </w:rPr>
        <w:tab/>
      </w:r>
      <w:r>
        <w:rPr>
          <w:color w:val="auto"/>
        </w:rPr>
        <w:fldChar w:fldCharType="begin"/>
      </w:r>
      <w:r>
        <w:rPr>
          <w:color w:val="auto"/>
        </w:rPr>
        <w:instrText xml:space="preserve"> PAGEREF _Toc54939206 \h </w:instrText>
      </w:r>
      <w:r>
        <w:rPr>
          <w:color w:val="auto"/>
        </w:rPr>
        <w:fldChar w:fldCharType="separate"/>
      </w:r>
      <w:r>
        <w:rPr>
          <w:color w:val="auto"/>
        </w:rPr>
        <w:t>31</w:t>
      </w:r>
      <w:r>
        <w:rPr>
          <w:color w:val="auto"/>
        </w:rPr>
        <w:fldChar w:fldCharType="end"/>
      </w:r>
      <w:r>
        <w:rPr>
          <w:color w:val="auto"/>
        </w:rPr>
        <w:fldChar w:fldCharType="end"/>
      </w:r>
    </w:p>
    <w:p>
      <w:pPr>
        <w:pStyle w:val="11"/>
        <w:tabs>
          <w:tab w:val="right" w:leader="dot" w:pos="9060"/>
        </w:tabs>
        <w:ind w:left="840"/>
        <w:rPr>
          <w:rFonts w:asciiTheme="minorHAnsi" w:hAnsiTheme="minorHAnsi" w:eastAsiaTheme="minorEastAsia" w:cstheme="minorBidi"/>
          <w:color w:val="auto"/>
          <w:kern w:val="2"/>
          <w:sz w:val="21"/>
          <w:szCs w:val="22"/>
        </w:rPr>
      </w:pPr>
      <w:r>
        <w:rPr>
          <w:color w:val="auto"/>
        </w:rPr>
        <w:fldChar w:fldCharType="begin"/>
      </w:r>
      <w:r>
        <w:rPr>
          <w:color w:val="auto"/>
        </w:rPr>
        <w:instrText xml:space="preserve"> HYPERLINK \l "_Toc54939209" </w:instrText>
      </w:r>
      <w:r>
        <w:rPr>
          <w:color w:val="auto"/>
        </w:rPr>
        <w:fldChar w:fldCharType="separate"/>
      </w:r>
      <w:r>
        <w:rPr>
          <w:rFonts w:hint="eastAsia"/>
          <w:color w:val="auto"/>
          <w:lang w:val="en-US" w:eastAsia="zh-CN"/>
        </w:rPr>
        <w:t>六</w:t>
      </w:r>
      <w:r>
        <w:rPr>
          <w:rStyle w:val="30"/>
          <w:rFonts w:hAnsi="宋体" w:cs="宋体"/>
          <w:color w:val="auto"/>
        </w:rPr>
        <w:t>、资格证明文件</w:t>
      </w:r>
      <w:r>
        <w:rPr>
          <w:color w:val="auto"/>
        </w:rPr>
        <w:tab/>
      </w:r>
      <w:r>
        <w:rPr>
          <w:color w:val="auto"/>
        </w:rPr>
        <w:fldChar w:fldCharType="begin"/>
      </w:r>
      <w:r>
        <w:rPr>
          <w:color w:val="auto"/>
        </w:rPr>
        <w:instrText xml:space="preserve"> PAGEREF _Toc54939209 \h </w:instrText>
      </w:r>
      <w:r>
        <w:rPr>
          <w:color w:val="auto"/>
        </w:rPr>
        <w:fldChar w:fldCharType="separate"/>
      </w:r>
      <w:r>
        <w:rPr>
          <w:color w:val="auto"/>
        </w:rPr>
        <w:t>32</w:t>
      </w:r>
      <w:r>
        <w:rPr>
          <w:color w:val="auto"/>
        </w:rPr>
        <w:fldChar w:fldCharType="end"/>
      </w:r>
      <w:r>
        <w:rPr>
          <w:color w:val="auto"/>
        </w:rPr>
        <w:fldChar w:fldCharType="end"/>
      </w:r>
    </w:p>
    <w:p>
      <w:pPr>
        <w:pStyle w:val="11"/>
        <w:tabs>
          <w:tab w:val="right" w:leader="dot" w:pos="9060"/>
        </w:tabs>
        <w:spacing w:line="240" w:lineRule="auto"/>
        <w:ind w:left="0" w:leftChars="0"/>
        <w:jc w:val="center"/>
        <w:outlineLvl w:val="0"/>
        <w:rPr>
          <w:rFonts w:ascii="宋体" w:hAnsi="宋体" w:cs="宋体"/>
          <w:color w:val="auto"/>
        </w:rPr>
      </w:pPr>
      <w:r>
        <w:rPr>
          <w:rFonts w:hint="eastAsia" w:ascii="宋体" w:hAnsi="宋体" w:cs="宋体"/>
          <w:color w:val="auto"/>
        </w:rPr>
        <w:fldChar w:fldCharType="end"/>
      </w:r>
    </w:p>
    <w:p>
      <w:pPr>
        <w:pStyle w:val="11"/>
        <w:tabs>
          <w:tab w:val="right" w:leader="dot" w:pos="9060"/>
        </w:tabs>
        <w:spacing w:line="240" w:lineRule="auto"/>
        <w:ind w:left="0" w:leftChars="0"/>
        <w:jc w:val="center"/>
        <w:outlineLvl w:val="0"/>
        <w:rPr>
          <w:rFonts w:ascii="宋体" w:hAnsi="宋体" w:cs="宋体"/>
          <w:color w:val="auto"/>
        </w:rPr>
        <w:sectPr>
          <w:headerReference r:id="rId3" w:type="default"/>
          <w:pgSz w:w="11906" w:h="16838"/>
          <w:pgMar w:top="1417" w:right="1418" w:bottom="1417" w:left="1418" w:header="680" w:footer="680" w:gutter="0"/>
          <w:pgNumType w:start="1"/>
          <w:cols w:space="720" w:num="1"/>
          <w:docGrid w:type="lines" w:linePitch="312" w:charSpace="0"/>
        </w:sectPr>
      </w:pPr>
    </w:p>
    <w:p>
      <w:pPr>
        <w:rPr>
          <w:color w:val="auto"/>
        </w:rPr>
      </w:pPr>
    </w:p>
    <w:p>
      <w:pPr>
        <w:pStyle w:val="11"/>
        <w:tabs>
          <w:tab w:val="right" w:leader="dot" w:pos="9060"/>
        </w:tabs>
        <w:spacing w:line="240" w:lineRule="auto"/>
        <w:ind w:left="0" w:leftChars="0"/>
        <w:jc w:val="center"/>
        <w:outlineLvl w:val="0"/>
        <w:rPr>
          <w:rStyle w:val="36"/>
          <w:rFonts w:hint="eastAsia" w:ascii="宋体" w:hAnsi="宋体" w:eastAsia="宋体" w:cs="宋体"/>
          <w:b/>
          <w:bCs/>
          <w:color w:val="auto"/>
          <w:sz w:val="32"/>
          <w:szCs w:val="32"/>
          <w:lang w:val="en-US" w:eastAsia="zh-CN"/>
        </w:rPr>
      </w:pPr>
      <w:bookmarkStart w:id="0" w:name="_Toc54939187"/>
      <w:r>
        <w:rPr>
          <w:rStyle w:val="36"/>
          <w:rFonts w:hint="eastAsia" w:ascii="宋体" w:hAnsi="宋体" w:cs="宋体"/>
          <w:b/>
          <w:bCs/>
          <w:color w:val="auto"/>
          <w:sz w:val="32"/>
          <w:szCs w:val="32"/>
        </w:rPr>
        <w:t>第一章   竞争性谈判</w:t>
      </w:r>
      <w:bookmarkEnd w:id="0"/>
      <w:bookmarkStart w:id="1" w:name="_Toc35393797"/>
      <w:bookmarkStart w:id="2" w:name="_Toc28359011"/>
      <w:r>
        <w:rPr>
          <w:rStyle w:val="36"/>
          <w:rFonts w:hint="eastAsia" w:ascii="宋体" w:hAnsi="宋体" w:cs="宋体"/>
          <w:b/>
          <w:bCs/>
          <w:color w:val="auto"/>
          <w:sz w:val="32"/>
          <w:szCs w:val="32"/>
          <w:lang w:val="en-US" w:eastAsia="zh-CN"/>
        </w:rPr>
        <w:t>邀请书</w:t>
      </w:r>
    </w:p>
    <w:bookmarkEnd w:id="1"/>
    <w:bookmarkEnd w:id="2"/>
    <w:p>
      <w:pPr>
        <w:spacing w:line="480" w:lineRule="auto"/>
        <w:rPr>
          <w:sz w:val="40"/>
          <w:szCs w:val="48"/>
          <w:highlight w:val="none"/>
          <w:u w:val="single"/>
        </w:rPr>
      </w:pPr>
      <w:bookmarkStart w:id="3" w:name="_Toc5725"/>
      <w:bookmarkStart w:id="4" w:name="_Toc54939188"/>
      <w:r>
        <w:rPr>
          <w:rFonts w:ascii="Calibri" w:hAnsi="Calibri"/>
          <w:color w:val="auto"/>
          <w:szCs w:val="21"/>
          <w:highlight w:val="none"/>
          <w:lang w:bidi="ar"/>
        </w:rPr>
        <w:t xml:space="preserve"> </w:t>
      </w:r>
      <w:bookmarkStart w:id="5" w:name="_Toc35393629"/>
      <w:bookmarkStart w:id="6" w:name="_Toc28359012"/>
      <w:bookmarkStart w:id="7" w:name="_Toc28359089"/>
      <w:bookmarkStart w:id="8" w:name="_Toc35393798"/>
      <w:r>
        <w:rPr>
          <w:rFonts w:hint="eastAsia"/>
          <w:sz w:val="40"/>
          <w:szCs w:val="48"/>
          <w:highlight w:val="none"/>
          <w:u w:val="single"/>
        </w:rPr>
        <w:t xml:space="preserve">               </w:t>
      </w:r>
    </w:p>
    <w:p>
      <w:pPr>
        <w:widowControl/>
        <w:shd w:val="clear" w:color="auto" w:fill="FFFFFF"/>
        <w:spacing w:line="560" w:lineRule="exact"/>
        <w:ind w:firstLine="640"/>
        <w:rPr>
          <w:rFonts w:ascii="宋体" w:hAnsi="宋体" w:cs="宋体"/>
          <w:color w:val="000000"/>
          <w:kern w:val="0"/>
          <w:sz w:val="32"/>
          <w:szCs w:val="32"/>
          <w:highlight w:val="none"/>
        </w:rPr>
      </w:pPr>
      <w:r>
        <w:rPr>
          <w:rFonts w:hint="eastAsia" w:ascii="仿宋_GB2312" w:hAnsi="宋体" w:eastAsia="仿宋_GB2312" w:cs="宋体"/>
          <w:color w:val="000000"/>
          <w:kern w:val="0"/>
          <w:sz w:val="32"/>
          <w:szCs w:val="32"/>
          <w:highlight w:val="none"/>
        </w:rPr>
        <w:t>安庆市皖宜项目咨询管理有限公司受</w:t>
      </w:r>
      <w:r>
        <w:rPr>
          <w:rFonts w:hint="eastAsia" w:ascii="仿宋_GB2312" w:hAnsi="宋体" w:eastAsia="仿宋_GB2312" w:cs="宋体"/>
          <w:color w:val="000000"/>
          <w:kern w:val="0"/>
          <w:sz w:val="32"/>
          <w:szCs w:val="32"/>
          <w:highlight w:val="none"/>
          <w:lang w:val="en-US" w:eastAsia="zh-CN"/>
        </w:rPr>
        <w:t>安庆职业技术学院</w:t>
      </w:r>
      <w:r>
        <w:rPr>
          <w:rFonts w:hint="eastAsia" w:ascii="仿宋_GB2312" w:hAnsi="宋体" w:eastAsia="仿宋_GB2312" w:cs="宋体"/>
          <w:color w:val="000000"/>
          <w:kern w:val="0"/>
          <w:sz w:val="32"/>
          <w:szCs w:val="32"/>
          <w:highlight w:val="none"/>
        </w:rPr>
        <w:t>的委托，现对“</w:t>
      </w:r>
      <w:r>
        <w:rPr>
          <w:rFonts w:hint="eastAsia" w:ascii="仿宋_GB2312" w:hAnsi="宋体" w:eastAsia="仿宋_GB2312" w:cs="宋体"/>
          <w:color w:val="000000"/>
          <w:kern w:val="0"/>
          <w:sz w:val="32"/>
          <w:szCs w:val="32"/>
          <w:highlight w:val="none"/>
          <w:lang w:eastAsia="zh-CN"/>
        </w:rPr>
        <w:t>安庆职业技术学院2021年度国有资产清查及专项审计业务第三方中介机构采购（二次）</w:t>
      </w:r>
      <w:r>
        <w:rPr>
          <w:rFonts w:hint="eastAsia" w:ascii="仿宋_GB2312" w:hAnsi="宋体" w:eastAsia="仿宋_GB2312" w:cs="宋体"/>
          <w:color w:val="000000"/>
          <w:kern w:val="0"/>
          <w:sz w:val="32"/>
          <w:szCs w:val="32"/>
          <w:highlight w:val="none"/>
        </w:rPr>
        <w:t>”项目（项目编号：</w:t>
      </w:r>
      <w:r>
        <w:rPr>
          <w:rFonts w:hint="eastAsia" w:ascii="仿宋_GB2312" w:hAnsi="宋体" w:eastAsia="仿宋_GB2312" w:cs="宋体"/>
          <w:color w:val="000000"/>
          <w:kern w:val="0"/>
          <w:sz w:val="32"/>
          <w:szCs w:val="32"/>
          <w:highlight w:val="none"/>
          <w:lang w:eastAsia="zh-CN"/>
        </w:rPr>
        <w:t>CG-AZ-2021-016</w:t>
      </w:r>
      <w:r>
        <w:rPr>
          <w:rFonts w:hint="eastAsia" w:ascii="仿宋_GB2312" w:hAnsi="宋体" w:eastAsia="仿宋_GB2312" w:cs="宋体"/>
          <w:color w:val="000000"/>
          <w:kern w:val="0"/>
          <w:sz w:val="32"/>
          <w:szCs w:val="32"/>
          <w:highlight w:val="none"/>
        </w:rPr>
        <w:t>）进行竞争性谈判。现邀请已由采购人按法定程序邀请的供应商参与本次采购活动。</w:t>
      </w:r>
    </w:p>
    <w:p>
      <w:pPr>
        <w:widowControl/>
        <w:shd w:val="clear" w:color="auto" w:fill="FFFFFF"/>
        <w:spacing w:line="560" w:lineRule="exact"/>
        <w:ind w:firstLine="643"/>
        <w:rPr>
          <w:rFonts w:ascii="宋体" w:hAnsi="宋体" w:cs="宋体"/>
          <w:color w:val="000000"/>
          <w:kern w:val="0"/>
          <w:sz w:val="32"/>
          <w:szCs w:val="32"/>
          <w:highlight w:val="none"/>
        </w:rPr>
      </w:pPr>
      <w:r>
        <w:rPr>
          <w:rFonts w:hint="eastAsia" w:ascii="黑体" w:hAnsi="黑体" w:eastAsia="黑体" w:cs="宋体"/>
          <w:b/>
          <w:bCs/>
          <w:color w:val="000000"/>
          <w:kern w:val="0"/>
          <w:sz w:val="32"/>
          <w:szCs w:val="32"/>
          <w:highlight w:val="none"/>
        </w:rPr>
        <w:t>一、采购内容：</w:t>
      </w:r>
    </w:p>
    <w:p>
      <w:pPr>
        <w:widowControl/>
        <w:shd w:val="clear" w:color="auto" w:fill="FFFFFF"/>
        <w:spacing w:line="560" w:lineRule="exact"/>
        <w:ind w:firstLine="64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w:t>
      </w:r>
      <w:r>
        <w:rPr>
          <w:rFonts w:hint="eastAsia" w:ascii="仿宋_GB2312" w:hAnsi="宋体" w:eastAsia="仿宋_GB2312" w:cs="宋体"/>
          <w:color w:val="000000"/>
          <w:kern w:val="0"/>
          <w:sz w:val="32"/>
          <w:szCs w:val="32"/>
          <w:highlight w:val="none"/>
          <w:lang w:eastAsia="zh-CN"/>
        </w:rPr>
        <w:t>安庆职业技术学院2021年度国有资产清查及专项审计业务第三方中介机构</w:t>
      </w:r>
      <w:r>
        <w:rPr>
          <w:rFonts w:hint="eastAsia" w:ascii="仿宋_GB2312" w:hAnsi="宋体" w:eastAsia="仿宋_GB2312" w:cs="宋体"/>
          <w:color w:val="000000"/>
          <w:kern w:val="0"/>
          <w:sz w:val="32"/>
          <w:szCs w:val="32"/>
          <w:highlight w:val="none"/>
        </w:rPr>
        <w:t xml:space="preserve"> </w:t>
      </w:r>
    </w:p>
    <w:p>
      <w:pPr>
        <w:widowControl/>
        <w:shd w:val="clear" w:color="auto" w:fill="FFFFFF"/>
        <w:spacing w:line="560" w:lineRule="exact"/>
        <w:ind w:firstLine="643"/>
        <w:rPr>
          <w:rFonts w:ascii="黑体" w:hAnsi="黑体" w:eastAsia="黑体" w:cs="宋体"/>
          <w:b/>
          <w:bCs/>
          <w:color w:val="000000"/>
          <w:kern w:val="0"/>
          <w:sz w:val="32"/>
          <w:szCs w:val="32"/>
          <w:highlight w:val="none"/>
        </w:rPr>
      </w:pPr>
      <w:r>
        <w:rPr>
          <w:rFonts w:hint="eastAsia" w:ascii="黑体" w:hAnsi="黑体" w:eastAsia="黑体" w:cs="宋体"/>
          <w:b/>
          <w:bCs/>
          <w:color w:val="000000"/>
          <w:kern w:val="0"/>
          <w:sz w:val="32"/>
          <w:szCs w:val="32"/>
          <w:highlight w:val="none"/>
        </w:rPr>
        <w:t>二、供应商资格：</w:t>
      </w:r>
    </w:p>
    <w:p>
      <w:pPr>
        <w:widowControl/>
        <w:shd w:val="clear" w:color="auto" w:fill="FFFFFF"/>
        <w:spacing w:line="560" w:lineRule="exact"/>
        <w:ind w:firstLine="64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符合《中华人民共和国政府采</w:t>
      </w:r>
      <w:r>
        <w:rPr>
          <w:rFonts w:hint="eastAsia" w:ascii="仿宋_GB2312" w:hAnsi="宋体" w:eastAsia="仿宋_GB2312" w:cs="宋体"/>
          <w:color w:val="auto"/>
          <w:kern w:val="0"/>
          <w:sz w:val="32"/>
          <w:szCs w:val="32"/>
          <w:highlight w:val="none"/>
        </w:rPr>
        <w:t>购法》第二十二条规定；</w:t>
      </w:r>
    </w:p>
    <w:p>
      <w:pPr>
        <w:widowControl/>
        <w:shd w:val="clear" w:color="auto" w:fill="FFFFFF"/>
        <w:spacing w:line="560" w:lineRule="exact"/>
        <w:ind w:firstLine="64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具有合法有效的营业执照；</w:t>
      </w:r>
    </w:p>
    <w:p>
      <w:pPr>
        <w:widowControl/>
        <w:shd w:val="clear" w:color="auto" w:fill="FFFFFF"/>
        <w:spacing w:line="560" w:lineRule="exact"/>
        <w:ind w:firstLine="640"/>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3.具有行业主管部门颁发的会计师事务所执业资格；</w:t>
      </w:r>
    </w:p>
    <w:p>
      <w:pPr>
        <w:widowControl/>
        <w:shd w:val="clear" w:color="auto" w:fill="FFFFFF"/>
        <w:spacing w:line="560" w:lineRule="exact"/>
        <w:ind w:firstLine="64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rPr>
        <w:t>本项目</w:t>
      </w:r>
      <w:r>
        <w:rPr>
          <w:rFonts w:ascii="仿宋_GB2312" w:hAnsi="宋体" w:eastAsia="仿宋_GB2312" w:cs="宋体"/>
          <w:color w:val="auto"/>
          <w:kern w:val="0"/>
          <w:sz w:val="32"/>
          <w:szCs w:val="32"/>
          <w:highlight w:val="none"/>
        </w:rPr>
        <w:t>不接受</w:t>
      </w:r>
      <w:r>
        <w:rPr>
          <w:rFonts w:hint="eastAsia" w:ascii="仿宋_GB2312" w:hAnsi="宋体" w:eastAsia="仿宋_GB2312" w:cs="宋体"/>
          <w:color w:val="auto"/>
          <w:kern w:val="0"/>
          <w:sz w:val="32"/>
          <w:szCs w:val="32"/>
          <w:highlight w:val="none"/>
        </w:rPr>
        <w:t>联合体。</w:t>
      </w:r>
    </w:p>
    <w:p>
      <w:pPr>
        <w:spacing w:line="560" w:lineRule="exact"/>
        <w:ind w:firstLine="643" w:firstLineChars="200"/>
        <w:rPr>
          <w:rFonts w:ascii="黑体" w:hAnsi="黑体" w:eastAsia="黑体" w:cs="宋体"/>
          <w:b/>
          <w:bCs/>
          <w:color w:val="000000"/>
          <w:kern w:val="0"/>
          <w:sz w:val="32"/>
          <w:szCs w:val="32"/>
          <w:highlight w:val="none"/>
        </w:rPr>
      </w:pPr>
      <w:r>
        <w:rPr>
          <w:rFonts w:hint="eastAsia" w:ascii="黑体" w:hAnsi="黑体" w:eastAsia="黑体" w:cs="宋体"/>
          <w:b/>
          <w:bCs/>
          <w:color w:val="000000"/>
          <w:kern w:val="0"/>
          <w:sz w:val="32"/>
          <w:szCs w:val="32"/>
          <w:highlight w:val="none"/>
        </w:rPr>
        <w:t>三、谈判文件获取：</w:t>
      </w:r>
    </w:p>
    <w:p>
      <w:pPr>
        <w:ind w:firstLine="565" w:firstLineChars="202"/>
        <w:rPr>
          <w:rFonts w:ascii="仿宋_GB2312" w:hAnsi="宋体" w:eastAsia="仿宋_GB2312" w:cs="宋体"/>
          <w:color w:val="000000"/>
          <w:kern w:val="0"/>
          <w:sz w:val="32"/>
          <w:szCs w:val="32"/>
          <w:highlight w:val="none"/>
        </w:rPr>
      </w:pPr>
      <w:r>
        <w:rPr>
          <w:rFonts w:hint="eastAsia" w:ascii="仿宋" w:hAnsi="仿宋" w:eastAsia="仿宋" w:cs="仿宋"/>
          <w:strike w:val="0"/>
          <w:dstrike w:val="0"/>
          <w:color w:val="auto"/>
          <w:kern w:val="0"/>
          <w:sz w:val="28"/>
          <w:szCs w:val="28"/>
          <w:highlight w:val="none"/>
          <w:lang w:val="en-US" w:eastAsia="zh-CN"/>
        </w:rPr>
        <w:t>受邀供应商</w:t>
      </w:r>
      <w:r>
        <w:rPr>
          <w:rFonts w:hint="eastAsia" w:ascii="仿宋" w:hAnsi="仿宋" w:eastAsia="仿宋" w:cs="仿宋"/>
          <w:strike w:val="0"/>
          <w:dstrike w:val="0"/>
          <w:color w:val="auto"/>
          <w:kern w:val="0"/>
          <w:sz w:val="28"/>
          <w:szCs w:val="28"/>
          <w:highlight w:val="none"/>
        </w:rPr>
        <w:t>于</w:t>
      </w:r>
      <w:r>
        <w:rPr>
          <w:rFonts w:hint="eastAsia" w:ascii="仿宋" w:hAnsi="仿宋" w:eastAsia="仿宋" w:cs="仿宋"/>
          <w:strike w:val="0"/>
          <w:dstrike w:val="0"/>
          <w:color w:val="auto"/>
          <w:kern w:val="0"/>
          <w:sz w:val="28"/>
          <w:szCs w:val="28"/>
          <w:highlight w:val="none"/>
          <w:lang w:val="en-US" w:eastAsia="zh-CN"/>
        </w:rPr>
        <w:t>2021年8月19日17时 30分</w:t>
      </w:r>
      <w:r>
        <w:rPr>
          <w:rFonts w:hint="eastAsia" w:ascii="仿宋" w:hAnsi="仿宋" w:eastAsia="仿宋" w:cs="仿宋"/>
          <w:strike w:val="0"/>
          <w:dstrike w:val="0"/>
          <w:color w:val="auto"/>
          <w:kern w:val="0"/>
          <w:sz w:val="28"/>
          <w:szCs w:val="28"/>
          <w:highlight w:val="none"/>
        </w:rPr>
        <w:t>前，</w:t>
      </w:r>
      <w:r>
        <w:rPr>
          <w:rFonts w:hint="eastAsia" w:ascii="仿宋" w:hAnsi="仿宋" w:eastAsia="仿宋" w:cs="仿宋"/>
          <w:strike w:val="0"/>
          <w:dstrike w:val="0"/>
          <w:color w:val="auto"/>
          <w:kern w:val="0"/>
          <w:sz w:val="28"/>
          <w:szCs w:val="28"/>
          <w:highlight w:val="none"/>
          <w:lang w:val="en-US" w:eastAsia="zh-CN"/>
        </w:rPr>
        <w:t>将盖公章的获取竞争性谈判文件的函（详见附件）发送至</w:t>
      </w:r>
      <w:r>
        <w:rPr>
          <w:rFonts w:hint="eastAsia" w:ascii="仿宋" w:hAnsi="仿宋" w:eastAsia="仿宋" w:cs="仿宋"/>
          <w:strike w:val="0"/>
          <w:dstrike w:val="0"/>
          <w:color w:val="auto"/>
          <w:kern w:val="0"/>
          <w:sz w:val="28"/>
          <w:szCs w:val="28"/>
          <w:highlight w:val="none"/>
        </w:rPr>
        <w:t>邮箱</w:t>
      </w:r>
      <w:r>
        <w:rPr>
          <w:rFonts w:hint="eastAsia" w:ascii="仿宋" w:hAnsi="仿宋" w:eastAsia="仿宋" w:cs="仿宋"/>
          <w:strike w:val="0"/>
          <w:dstrike w:val="0"/>
          <w:color w:val="auto"/>
          <w:kern w:val="0"/>
          <w:sz w:val="28"/>
          <w:szCs w:val="28"/>
          <w:highlight w:val="none"/>
          <w:lang w:val="en-US" w:eastAsia="zh-CN"/>
        </w:rPr>
        <w:t>504476178</w:t>
      </w:r>
      <w:r>
        <w:rPr>
          <w:rFonts w:hint="eastAsia" w:ascii="仿宋" w:hAnsi="仿宋" w:eastAsia="仿宋" w:cs="仿宋"/>
          <w:strike w:val="0"/>
          <w:dstrike w:val="0"/>
          <w:color w:val="auto"/>
          <w:kern w:val="0"/>
          <w:sz w:val="28"/>
          <w:szCs w:val="28"/>
          <w:highlight w:val="none"/>
        </w:rPr>
        <w:t>@qq.com</w:t>
      </w:r>
      <w:r>
        <w:rPr>
          <w:rFonts w:hint="eastAsia" w:ascii="仿宋" w:hAnsi="仿宋" w:eastAsia="仿宋" w:cs="仿宋"/>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eastAsia="zh-CN"/>
        </w:rPr>
        <w:t>（</w:t>
      </w:r>
      <w:r>
        <w:rPr>
          <w:rFonts w:hint="eastAsia" w:ascii="仿宋" w:hAnsi="仿宋" w:eastAsia="仿宋" w:cs="仿宋"/>
          <w:strike w:val="0"/>
          <w:dstrike w:val="0"/>
          <w:color w:val="auto"/>
          <w:kern w:val="0"/>
          <w:sz w:val="28"/>
          <w:szCs w:val="28"/>
          <w:highlight w:val="none"/>
          <w:lang w:val="en-US" w:eastAsia="zh-CN"/>
        </w:rPr>
        <w:t>超过时间的邮件无效，无法获取文件</w:t>
      </w:r>
      <w:r>
        <w:rPr>
          <w:rFonts w:hint="eastAsia" w:ascii="仿宋" w:hAnsi="仿宋" w:eastAsia="仿宋" w:cs="仿宋"/>
          <w:strike w:val="0"/>
          <w:dstrike w:val="0"/>
          <w:color w:val="auto"/>
          <w:kern w:val="0"/>
          <w:sz w:val="28"/>
          <w:szCs w:val="28"/>
          <w:highlight w:val="none"/>
          <w:lang w:eastAsia="zh-CN"/>
        </w:rPr>
        <w:t>）</w:t>
      </w:r>
    </w:p>
    <w:p>
      <w:pPr>
        <w:widowControl/>
        <w:shd w:val="clear" w:color="auto" w:fill="FFFFFF"/>
        <w:spacing w:line="560" w:lineRule="exact"/>
        <w:ind w:firstLine="643" w:firstLineChars="200"/>
        <w:rPr>
          <w:rFonts w:ascii="仿宋_GB2312" w:hAnsi="宋体" w:eastAsia="仿宋_GB2312" w:cs="宋体"/>
          <w:color w:val="000000"/>
          <w:kern w:val="0"/>
          <w:sz w:val="32"/>
          <w:szCs w:val="32"/>
          <w:highlight w:val="none"/>
        </w:rPr>
      </w:pPr>
      <w:r>
        <w:rPr>
          <w:rFonts w:hint="eastAsia" w:ascii="黑体" w:hAnsi="黑体" w:eastAsia="黑体" w:cs="宋体"/>
          <w:b/>
          <w:bCs/>
          <w:color w:val="000000"/>
          <w:kern w:val="0"/>
          <w:sz w:val="32"/>
          <w:szCs w:val="32"/>
          <w:highlight w:val="none"/>
        </w:rPr>
        <w:t>四、工本费：</w:t>
      </w:r>
      <w:r>
        <w:rPr>
          <w:rFonts w:hint="eastAsia" w:ascii="仿宋_GB2312" w:hAnsi="宋体" w:eastAsia="仿宋_GB2312" w:cs="宋体"/>
          <w:color w:val="000000"/>
          <w:kern w:val="0"/>
          <w:sz w:val="32"/>
          <w:szCs w:val="32"/>
          <w:highlight w:val="none"/>
          <w:lang w:val="en-US" w:eastAsia="zh-CN"/>
        </w:rPr>
        <w:t>免费</w:t>
      </w:r>
      <w:r>
        <w:rPr>
          <w:rFonts w:hint="eastAsia" w:ascii="仿宋_GB2312" w:hAnsi="宋体" w:eastAsia="仿宋_GB2312" w:cs="宋体"/>
          <w:color w:val="000000"/>
          <w:kern w:val="0"/>
          <w:sz w:val="32"/>
          <w:szCs w:val="32"/>
          <w:highlight w:val="none"/>
        </w:rPr>
        <w:t>。</w:t>
      </w:r>
    </w:p>
    <w:p>
      <w:pPr>
        <w:widowControl/>
        <w:shd w:val="clear" w:color="auto" w:fill="FFFFFF"/>
        <w:spacing w:line="560" w:lineRule="exact"/>
        <w:ind w:firstLine="643" w:firstLineChars="200"/>
        <w:rPr>
          <w:rFonts w:ascii="仿宋_GB2312" w:hAnsi="宋体" w:eastAsia="仿宋_GB2312" w:cs="宋体"/>
          <w:color w:val="000000"/>
          <w:kern w:val="0"/>
          <w:sz w:val="32"/>
          <w:szCs w:val="32"/>
          <w:highlight w:val="none"/>
        </w:rPr>
      </w:pPr>
      <w:r>
        <w:rPr>
          <w:rFonts w:hint="eastAsia" w:ascii="黑体" w:hAnsi="黑体" w:eastAsia="黑体" w:cs="宋体"/>
          <w:b/>
          <w:bCs/>
          <w:color w:val="000000"/>
          <w:kern w:val="0"/>
          <w:sz w:val="32"/>
          <w:szCs w:val="32"/>
          <w:highlight w:val="none"/>
        </w:rPr>
        <w:t>五、响应文件提交截止时间:</w:t>
      </w:r>
      <w:r>
        <w:rPr>
          <w:rFonts w:hint="eastAsia" w:ascii="黑体" w:hAnsi="黑体" w:eastAsia="黑体" w:cs="宋体"/>
          <w:b w:val="0"/>
          <w:bCs w:val="0"/>
          <w:color w:val="000000"/>
          <w:kern w:val="0"/>
          <w:sz w:val="32"/>
          <w:szCs w:val="32"/>
          <w:highlight w:val="none"/>
        </w:rPr>
        <w:t>2021年</w:t>
      </w:r>
      <w:r>
        <w:rPr>
          <w:rFonts w:hint="eastAsia" w:ascii="黑体" w:hAnsi="黑体" w:eastAsia="黑体" w:cs="宋体"/>
          <w:b w:val="0"/>
          <w:bCs w:val="0"/>
          <w:color w:val="000000"/>
          <w:kern w:val="0"/>
          <w:sz w:val="32"/>
          <w:szCs w:val="32"/>
          <w:highlight w:val="none"/>
          <w:lang w:val="en-US" w:eastAsia="zh-CN"/>
        </w:rPr>
        <w:t>8</w:t>
      </w:r>
      <w:r>
        <w:rPr>
          <w:rFonts w:hint="eastAsia" w:ascii="黑体" w:hAnsi="黑体" w:eastAsia="黑体" w:cs="宋体"/>
          <w:b w:val="0"/>
          <w:bCs w:val="0"/>
          <w:color w:val="000000"/>
          <w:kern w:val="0"/>
          <w:sz w:val="32"/>
          <w:szCs w:val="32"/>
          <w:highlight w:val="none"/>
        </w:rPr>
        <w:t>月</w:t>
      </w:r>
      <w:r>
        <w:rPr>
          <w:rFonts w:hint="eastAsia" w:ascii="黑体" w:hAnsi="黑体" w:eastAsia="黑体" w:cs="宋体"/>
          <w:b w:val="0"/>
          <w:bCs w:val="0"/>
          <w:color w:val="000000"/>
          <w:kern w:val="0"/>
          <w:sz w:val="32"/>
          <w:szCs w:val="32"/>
          <w:highlight w:val="none"/>
          <w:lang w:val="en-US" w:eastAsia="zh-CN"/>
        </w:rPr>
        <w:t>25</w:t>
      </w:r>
      <w:r>
        <w:rPr>
          <w:rFonts w:hint="eastAsia" w:ascii="黑体" w:hAnsi="黑体" w:eastAsia="黑体" w:cs="宋体"/>
          <w:b w:val="0"/>
          <w:bCs w:val="0"/>
          <w:color w:val="000000"/>
          <w:kern w:val="0"/>
          <w:sz w:val="32"/>
          <w:szCs w:val="32"/>
          <w:highlight w:val="none"/>
        </w:rPr>
        <w:t>日</w:t>
      </w:r>
      <w:r>
        <w:rPr>
          <w:rFonts w:hint="eastAsia" w:ascii="黑体" w:hAnsi="黑体" w:eastAsia="黑体" w:cs="宋体"/>
          <w:b w:val="0"/>
          <w:bCs w:val="0"/>
          <w:color w:val="000000"/>
          <w:kern w:val="0"/>
          <w:sz w:val="32"/>
          <w:szCs w:val="32"/>
          <w:highlight w:val="none"/>
          <w:lang w:val="en-US" w:eastAsia="zh-CN"/>
        </w:rPr>
        <w:t>15</w:t>
      </w:r>
      <w:r>
        <w:rPr>
          <w:rFonts w:hint="eastAsia" w:ascii="黑体" w:hAnsi="黑体" w:eastAsia="黑体" w:cs="宋体"/>
          <w:b w:val="0"/>
          <w:bCs w:val="0"/>
          <w:color w:val="000000"/>
          <w:kern w:val="0"/>
          <w:sz w:val="32"/>
          <w:szCs w:val="32"/>
          <w:highlight w:val="none"/>
        </w:rPr>
        <w:t>时</w:t>
      </w:r>
      <w:r>
        <w:rPr>
          <w:rFonts w:hint="eastAsia" w:ascii="黑体" w:hAnsi="黑体" w:eastAsia="黑体" w:cs="宋体"/>
          <w:b w:val="0"/>
          <w:bCs w:val="0"/>
          <w:color w:val="000000"/>
          <w:kern w:val="0"/>
          <w:sz w:val="32"/>
          <w:szCs w:val="32"/>
          <w:highlight w:val="none"/>
          <w:lang w:val="en-US" w:eastAsia="zh-CN"/>
        </w:rPr>
        <w:t>30</w:t>
      </w:r>
      <w:r>
        <w:rPr>
          <w:rFonts w:hint="eastAsia" w:ascii="黑体" w:hAnsi="黑体" w:eastAsia="黑体" w:cs="宋体"/>
          <w:b w:val="0"/>
          <w:bCs w:val="0"/>
          <w:color w:val="000000"/>
          <w:kern w:val="0"/>
          <w:sz w:val="32"/>
          <w:szCs w:val="32"/>
          <w:highlight w:val="none"/>
        </w:rPr>
        <w:t>分</w:t>
      </w:r>
    </w:p>
    <w:p>
      <w:pPr>
        <w:widowControl/>
        <w:shd w:val="clear" w:color="auto" w:fill="FFFFFF"/>
        <w:spacing w:line="560" w:lineRule="exact"/>
        <w:ind w:firstLine="643" w:firstLineChars="200"/>
        <w:rPr>
          <w:rFonts w:ascii="黑体" w:hAnsi="黑体" w:eastAsia="黑体" w:cs="宋体"/>
          <w:b/>
          <w:bCs/>
          <w:color w:val="000000"/>
          <w:kern w:val="0"/>
          <w:sz w:val="32"/>
          <w:szCs w:val="32"/>
          <w:highlight w:val="none"/>
        </w:rPr>
      </w:pPr>
      <w:r>
        <w:rPr>
          <w:rFonts w:hint="eastAsia" w:ascii="黑体" w:hAnsi="黑体" w:eastAsia="黑体" w:cs="宋体"/>
          <w:b/>
          <w:bCs/>
          <w:color w:val="000000"/>
          <w:kern w:val="0"/>
          <w:sz w:val="32"/>
          <w:szCs w:val="32"/>
          <w:highlight w:val="none"/>
        </w:rPr>
        <w:t>六、采购谈判时间及地点：</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时间：2021年8月25日15时30分</w:t>
      </w:r>
    </w:p>
    <w:p>
      <w:pPr>
        <w:widowControl/>
        <w:shd w:val="clear" w:color="auto" w:fill="FFFFFF"/>
        <w:spacing w:line="560" w:lineRule="exact"/>
        <w:ind w:firstLine="1280" w:firstLineChars="40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rPr>
        <w:t>地点：安庆市公共资源交易</w:t>
      </w:r>
      <w:r>
        <w:rPr>
          <w:rFonts w:hint="eastAsia" w:ascii="仿宋_GB2312" w:hAnsi="宋体" w:eastAsia="仿宋_GB2312" w:cs="宋体"/>
          <w:color w:val="000000"/>
          <w:kern w:val="0"/>
          <w:sz w:val="32"/>
          <w:szCs w:val="32"/>
          <w:highlight w:val="none"/>
          <w:lang w:val="en-US" w:eastAsia="zh-CN"/>
        </w:rPr>
        <w:t>中心</w:t>
      </w:r>
    </w:p>
    <w:p>
      <w:pPr>
        <w:widowControl/>
        <w:shd w:val="clear" w:color="auto" w:fill="FFFFFF"/>
        <w:spacing w:line="560" w:lineRule="exact"/>
        <w:ind w:firstLine="643" w:firstLineChars="200"/>
        <w:rPr>
          <w:rFonts w:ascii="黑体" w:hAnsi="黑体" w:eastAsia="黑体" w:cs="宋体"/>
          <w:b/>
          <w:bCs/>
          <w:color w:val="000000"/>
          <w:kern w:val="0"/>
          <w:sz w:val="32"/>
          <w:szCs w:val="32"/>
          <w:highlight w:val="none"/>
        </w:rPr>
      </w:pPr>
      <w:r>
        <w:rPr>
          <w:rFonts w:hint="eastAsia" w:ascii="黑体" w:hAnsi="黑体" w:eastAsia="黑体" w:cs="宋体"/>
          <w:b/>
          <w:bCs/>
          <w:color w:val="000000"/>
          <w:kern w:val="0"/>
          <w:sz w:val="32"/>
          <w:szCs w:val="32"/>
          <w:highlight w:val="none"/>
        </w:rPr>
        <w:t>七、联系方式：</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1、项目单位:安庆职业技术学院</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地址：安庆市天柱山东路99号</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联系人：余老师   电话：0556-5283045</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2、安庆市皖宜项目咨询管理有限公司</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地址：安庆市龙山路215号五楼</w:t>
      </w:r>
      <w:r>
        <w:rPr>
          <w:rFonts w:hint="eastAsia" w:ascii="仿宋_GB2312" w:hAnsi="宋体" w:eastAsia="仿宋_GB2312" w:cs="宋体"/>
          <w:color w:val="000000"/>
          <w:kern w:val="0"/>
          <w:sz w:val="32"/>
          <w:szCs w:val="32"/>
          <w:highlight w:val="none"/>
          <w:lang w:val="en-US" w:eastAsia="zh-CN"/>
        </w:rPr>
        <w:t>政府采购</w:t>
      </w:r>
      <w:r>
        <w:rPr>
          <w:rFonts w:hint="eastAsia" w:ascii="仿宋_GB2312" w:hAnsi="宋体" w:eastAsia="仿宋_GB2312" w:cs="宋体"/>
          <w:color w:val="000000"/>
          <w:kern w:val="0"/>
          <w:sz w:val="32"/>
          <w:szCs w:val="32"/>
          <w:highlight w:val="none"/>
        </w:rPr>
        <w:t>部办公室</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联系人：</w:t>
      </w:r>
      <w:r>
        <w:rPr>
          <w:rFonts w:hint="eastAsia" w:ascii="仿宋_GB2312" w:hAnsi="宋体" w:eastAsia="仿宋_GB2312" w:cs="宋体"/>
          <w:color w:val="000000"/>
          <w:kern w:val="0"/>
          <w:sz w:val="32"/>
          <w:szCs w:val="32"/>
          <w:highlight w:val="none"/>
          <w:lang w:val="en-US" w:eastAsia="zh-CN"/>
        </w:rPr>
        <w:t>武惠梅</w:t>
      </w:r>
      <w:r>
        <w:rPr>
          <w:rFonts w:hint="eastAsia" w:ascii="仿宋_GB2312" w:hAnsi="宋体" w:eastAsia="仿宋_GB2312" w:cs="宋体"/>
          <w:color w:val="000000"/>
          <w:kern w:val="0"/>
          <w:sz w:val="32"/>
          <w:szCs w:val="32"/>
          <w:highlight w:val="none"/>
        </w:rPr>
        <w:t xml:space="preserve">    电话：0556-</w:t>
      </w:r>
      <w:r>
        <w:rPr>
          <w:rFonts w:hint="eastAsia" w:ascii="仿宋_GB2312" w:hAnsi="宋体" w:eastAsia="仿宋_GB2312" w:cs="宋体"/>
          <w:color w:val="000000"/>
          <w:kern w:val="0"/>
          <w:sz w:val="32"/>
          <w:szCs w:val="32"/>
          <w:highlight w:val="none"/>
          <w:lang w:val="en-US" w:eastAsia="zh-CN"/>
        </w:rPr>
        <w:t>5991152</w:t>
      </w:r>
      <w:r>
        <w:rPr>
          <w:rFonts w:hint="eastAsia" w:ascii="仿宋_GB2312" w:hAnsi="宋体" w:eastAsia="仿宋_GB2312" w:cs="宋体"/>
          <w:color w:val="000000"/>
          <w:kern w:val="0"/>
          <w:sz w:val="32"/>
          <w:szCs w:val="32"/>
          <w:highlight w:val="none"/>
        </w:rPr>
        <w:t xml:space="preserve">　     </w:t>
      </w:r>
    </w:p>
    <w:p>
      <w:pPr>
        <w:widowControl/>
        <w:shd w:val="clear" w:color="auto" w:fill="FFFFFF"/>
        <w:spacing w:line="560" w:lineRule="exact"/>
        <w:ind w:firstLine="643" w:firstLineChars="200"/>
        <w:rPr>
          <w:rFonts w:ascii="黑体" w:hAnsi="黑体" w:eastAsia="黑体" w:cs="宋体"/>
          <w:b/>
          <w:bCs/>
          <w:color w:val="000000"/>
          <w:kern w:val="0"/>
          <w:sz w:val="32"/>
          <w:szCs w:val="32"/>
          <w:highlight w:val="none"/>
        </w:rPr>
      </w:pPr>
      <w:r>
        <w:rPr>
          <w:rFonts w:hint="eastAsia" w:ascii="黑体" w:hAnsi="黑体" w:eastAsia="黑体" w:cs="宋体"/>
          <w:b/>
          <w:bCs/>
          <w:color w:val="000000"/>
          <w:kern w:val="0"/>
          <w:sz w:val="32"/>
          <w:szCs w:val="32"/>
          <w:highlight w:val="none"/>
        </w:rPr>
        <w:t>八、备注</w:t>
      </w:r>
    </w:p>
    <w:p>
      <w:pPr>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谈判响应人的联系人电话(手机)、电子邮箱等通讯方式在谈判过程中必须保持畅通，否则因上述原因造成的后果，责任自负。</w:t>
      </w:r>
    </w:p>
    <w:p>
      <w:pPr>
        <w:widowControl/>
        <w:shd w:val="clear" w:color="auto" w:fill="FFFFFF"/>
        <w:spacing w:line="560" w:lineRule="exact"/>
        <w:ind w:firstLine="480" w:firstLineChars="150"/>
        <w:rPr>
          <w:rFonts w:ascii="仿宋_GB2312" w:hAnsi="宋体" w:eastAsia="仿宋_GB2312" w:cs="宋体"/>
          <w:color w:val="000000"/>
          <w:kern w:val="0"/>
          <w:sz w:val="32"/>
          <w:szCs w:val="32"/>
          <w:highlight w:val="none"/>
        </w:rPr>
      </w:pPr>
    </w:p>
    <w:p>
      <w:pPr>
        <w:jc w:val="right"/>
        <w:rPr>
          <w:rFonts w:ascii="仿宋_GB2312" w:hAnsi="宋体" w:eastAsia="仿宋_GB2312" w:cs="宋体"/>
          <w:color w:val="auto"/>
          <w:kern w:val="0"/>
          <w:sz w:val="32"/>
          <w:szCs w:val="32"/>
          <w:highlight w:val="none"/>
        </w:rPr>
      </w:pPr>
      <w:r>
        <w:rPr>
          <w:rFonts w:ascii="仿宋_GB2312" w:hAnsi="宋体" w:eastAsia="仿宋_GB2312" w:cs="宋体"/>
          <w:color w:val="000000"/>
          <w:kern w:val="0"/>
          <w:sz w:val="32"/>
          <w:szCs w:val="32"/>
          <w:highlight w:val="none"/>
        </w:rPr>
        <w:t>2021年</w:t>
      </w:r>
      <w:r>
        <w:rPr>
          <w:rFonts w:hint="eastAsia" w:ascii="仿宋_GB2312" w:hAnsi="宋体" w:eastAsia="仿宋_GB2312" w:cs="宋体"/>
          <w:color w:val="000000"/>
          <w:kern w:val="0"/>
          <w:sz w:val="32"/>
          <w:szCs w:val="32"/>
          <w:highlight w:val="none"/>
          <w:lang w:val="en-US" w:eastAsia="zh-CN"/>
        </w:rPr>
        <w:t>8</w:t>
      </w:r>
      <w:r>
        <w:rPr>
          <w:rFonts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16</w:t>
      </w:r>
      <w:r>
        <w:rPr>
          <w:rFonts w:ascii="仿宋_GB2312" w:hAnsi="宋体" w:eastAsia="仿宋_GB2312" w:cs="宋体"/>
          <w:color w:val="000000"/>
          <w:kern w:val="0"/>
          <w:sz w:val="32"/>
          <w:szCs w:val="32"/>
          <w:highlight w:val="none"/>
        </w:rPr>
        <w:t>日</w:t>
      </w:r>
      <w:bookmarkEnd w:id="5"/>
      <w:bookmarkEnd w:id="6"/>
      <w:bookmarkEnd w:id="7"/>
      <w:bookmarkEnd w:id="8"/>
    </w:p>
    <w:p>
      <w:pPr>
        <w:pStyle w:val="4"/>
        <w:jc w:val="left"/>
        <w:rPr>
          <w:rFonts w:hint="eastAsia" w:ascii="宋体" w:hAnsi="宋体" w:cs="宋体"/>
          <w:color w:val="auto"/>
          <w:sz w:val="24"/>
          <w:szCs w:val="36"/>
          <w:highlight w:val="none"/>
          <w:lang w:val="en-US" w:eastAsia="zh-CN"/>
        </w:rPr>
      </w:pPr>
      <w:r>
        <w:rPr>
          <w:rFonts w:hint="eastAsia" w:ascii="仿宋_GB2312" w:hAnsi="宋体" w:eastAsia="仿宋_GB2312" w:cs="宋体"/>
          <w:color w:val="auto"/>
          <w:kern w:val="0"/>
          <w:sz w:val="28"/>
          <w:szCs w:val="28"/>
          <w:highlight w:val="none"/>
        </w:rPr>
        <w:t>附件：</w:t>
      </w:r>
    </w:p>
    <w:p>
      <w:pPr>
        <w:pStyle w:val="4"/>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获取竞争性谈判文件的函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我单位要求获取安庆职业技术学院2021年度国有资产清查及专项审计业务第三方中介机构采购（二次）项目的竞争性谈判文件电子版，该电子版仅做本次投标使用，并承诺不做外用。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请将安庆职业技术学院2021年度国有资产清查及专项审计业务第三方中介机构采购（二次）项目竞争性谈判文件发至以下邮箱：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ascii="仿宋_GB2312" w:hAnsi="宋体" w:eastAsia="仿宋_GB2312" w:cs="宋体"/>
          <w:color w:val="auto"/>
          <w:kern w:val="0"/>
          <w:sz w:val="28"/>
          <w:szCs w:val="28"/>
          <w:highlight w:val="none"/>
        </w:rPr>
      </w:pPr>
      <w:r>
        <w:rPr>
          <w:rFonts w:hint="eastAsia" w:ascii="仿宋" w:hAnsi="仿宋" w:eastAsia="仿宋" w:cs="仿宋"/>
          <w:b w:val="0"/>
          <w:bCs w:val="0"/>
          <w:color w:val="auto"/>
          <w:sz w:val="32"/>
          <w:szCs w:val="32"/>
          <w:highlight w:val="none"/>
          <w:u w:val="none"/>
          <w:lang w:val="en-US" w:eastAsia="zh-CN"/>
        </w:rPr>
        <w:t xml:space="preserve">                                     年  月   日</w:t>
      </w:r>
    </w:p>
    <w:p>
      <w:pPr>
        <w:pStyle w:val="4"/>
        <w:rPr>
          <w:rFonts w:ascii="宋体" w:hAnsi="宋体" w:cs="宋体"/>
          <w:color w:val="auto"/>
        </w:rPr>
      </w:pPr>
      <w:r>
        <w:rPr>
          <w:rFonts w:hint="eastAsia" w:ascii="宋体" w:hAnsi="宋体" w:cs="宋体"/>
          <w:color w:val="auto"/>
        </w:rPr>
        <w:t>第二章   谈判响应人须知</w:t>
      </w:r>
      <w:bookmarkEnd w:id="3"/>
      <w:bookmarkEnd w:id="4"/>
    </w:p>
    <w:p>
      <w:pPr>
        <w:pStyle w:val="47"/>
        <w:rPr>
          <w:rFonts w:ascii="宋体" w:hAnsi="宋体"/>
          <w:color w:val="auto"/>
        </w:rPr>
      </w:pPr>
      <w:bookmarkStart w:id="9" w:name="_Toc27607"/>
      <w:bookmarkStart w:id="10" w:name="_Toc54939189"/>
      <w:r>
        <w:rPr>
          <w:rFonts w:hint="eastAsia" w:ascii="宋体" w:hAnsi="宋体"/>
          <w:color w:val="auto"/>
        </w:rPr>
        <w:t>第一节  谈判响应人须知前附表</w:t>
      </w:r>
      <w:bookmarkEnd w:id="9"/>
      <w:bookmarkEnd w:id="10"/>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601"/>
        <w:gridCol w:w="6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auto"/>
                <w:szCs w:val="21"/>
              </w:rPr>
            </w:pPr>
            <w:r>
              <w:rPr>
                <w:rFonts w:hint="eastAsia" w:ascii="宋体" w:hAnsi="宋体" w:cs="宋体"/>
                <w:color w:val="auto"/>
                <w:szCs w:val="21"/>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内容</w:t>
            </w:r>
          </w:p>
        </w:tc>
        <w:tc>
          <w:tcPr>
            <w:tcW w:w="6948"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auto"/>
                <w:szCs w:val="21"/>
              </w:rPr>
            </w:pPr>
            <w:r>
              <w:rPr>
                <w:rFonts w:hint="eastAsia" w:ascii="宋体" w:hAnsi="宋体" w:cs="宋体"/>
                <w:color w:val="auto"/>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项目编号</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CG-AZ-2021-016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项目名称</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auto"/>
                <w:szCs w:val="21"/>
                <w:lang w:eastAsia="zh-CN"/>
              </w:rPr>
            </w:pPr>
            <w:r>
              <w:rPr>
                <w:rFonts w:hint="eastAsia" w:ascii="宋体" w:hAnsi="宋体" w:cs="宋体"/>
                <w:color w:val="auto"/>
                <w:kern w:val="0"/>
                <w:szCs w:val="21"/>
                <w:highlight w:val="none"/>
                <w:lang w:eastAsia="zh-CN"/>
              </w:rPr>
              <w:t>安庆职业技术学院2021年度国有资产清查及专项审计业务第三方中介机构采购（二次）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采购人</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eastAsia="宋体" w:cs="宋体"/>
                <w:color w:val="auto"/>
                <w:kern w:val="0"/>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4</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代理</w:t>
            </w:r>
            <w:r>
              <w:rPr>
                <w:rFonts w:hint="eastAsia" w:ascii="宋体" w:hAnsi="宋体" w:cs="宋体"/>
                <w:color w:val="auto"/>
                <w:szCs w:val="21"/>
              </w:rPr>
              <w:t>机构</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采购方式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包别划分</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资金来源</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谈判最高限价</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auto"/>
                <w:szCs w:val="21"/>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8.6万元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项目地点</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服务</w:t>
            </w:r>
            <w:r>
              <w:rPr>
                <w:rFonts w:hint="eastAsia" w:ascii="宋体" w:hAnsi="宋体" w:cs="宋体"/>
                <w:color w:val="auto"/>
                <w:szCs w:val="21"/>
              </w:rPr>
              <w:t>期</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lang w:val="en-US" w:eastAsia="zh-CN"/>
              </w:rPr>
              <w:t>合同签订后3个月内完成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1.符合《中华人民共和国政府采购法》第二十二条规定；</w:t>
            </w:r>
          </w:p>
          <w:p>
            <w:pPr>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2.具有合法有效的营业执照；</w:t>
            </w:r>
          </w:p>
          <w:p>
            <w:pPr>
              <w:spacing w:line="420" w:lineRule="exact"/>
              <w:rPr>
                <w:rFonts w:hint="default" w:ascii="宋体" w:hAnsi="宋体" w:cs="宋体"/>
                <w:color w:val="auto"/>
                <w:szCs w:val="21"/>
                <w:lang w:val="en-US" w:eastAsia="zh-CN"/>
              </w:rPr>
            </w:pPr>
            <w:r>
              <w:rPr>
                <w:rFonts w:hint="eastAsia" w:ascii="宋体" w:hAnsi="宋体" w:cs="宋体"/>
                <w:color w:val="auto"/>
                <w:szCs w:val="21"/>
                <w:lang w:val="en-US" w:eastAsia="zh-CN"/>
              </w:rPr>
              <w:t>3.具有行业主管部门颁发的会计师事务所执业资格；</w:t>
            </w:r>
          </w:p>
          <w:p>
            <w:pPr>
              <w:spacing w:line="420" w:lineRule="exact"/>
              <w:rPr>
                <w:rFonts w:hint="default" w:ascii="宋体" w:hAnsi="宋体" w:cs="宋体"/>
                <w:color w:val="auto"/>
                <w:szCs w:val="21"/>
                <w:lang w:val="en-US" w:eastAsia="zh-CN"/>
              </w:rPr>
            </w:pPr>
            <w:r>
              <w:rPr>
                <w:rFonts w:hint="eastAsia" w:ascii="宋体" w:hAnsi="宋体" w:cs="宋体"/>
                <w:color w:val="auto"/>
                <w:szCs w:val="21"/>
                <w:lang w:val="en-US" w:eastAsia="zh-CN"/>
              </w:rPr>
              <w:t>4.本项目不接受联合体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资格审查方式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谈判响应有效期</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auto"/>
                <w:szCs w:val="21"/>
              </w:rPr>
            </w:pPr>
            <w:r>
              <w:rPr>
                <w:rFonts w:hint="eastAsia" w:ascii="宋体" w:hAnsi="宋体" w:cs="宋体"/>
                <w:color w:val="auto"/>
                <w:szCs w:val="21"/>
                <w:lang w:val="en-US" w:eastAsia="zh-CN"/>
              </w:rPr>
              <w:t>18</w:t>
            </w:r>
            <w:r>
              <w:rPr>
                <w:rFonts w:hint="eastAsia" w:ascii="宋体" w:hAnsi="宋体" w:cs="宋体"/>
                <w:color w:val="auto"/>
                <w:szCs w:val="21"/>
              </w:rPr>
              <w:t>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谈判响应保证金</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提交响应文件</w:t>
            </w:r>
          </w:p>
        </w:tc>
        <w:tc>
          <w:tcPr>
            <w:tcW w:w="694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1、提交响应文件截止时间：</w:t>
            </w:r>
            <w:r>
              <w:rPr>
                <w:rFonts w:hint="eastAsia" w:ascii="宋体" w:hAnsi="宋体" w:eastAsia="宋体" w:cs="宋体"/>
                <w:color w:val="auto"/>
                <w:sz w:val="21"/>
                <w:szCs w:val="21"/>
                <w:highlight w:val="none"/>
                <w:u w:val="none"/>
                <w:lang w:val="en-US" w:eastAsia="zh-CN"/>
              </w:rPr>
              <w:t>2021年8月25日15时30分</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hAnsi="宋体"/>
                <w:b w:val="0"/>
                <w:bCs w:val="0"/>
                <w:color w:val="auto"/>
                <w:szCs w:val="21"/>
                <w:highlight w:val="none"/>
              </w:rPr>
            </w:pPr>
            <w:r>
              <w:rPr>
                <w:rFonts w:hint="eastAsia" w:hAnsi="宋体"/>
                <w:b w:val="0"/>
                <w:bCs w:val="0"/>
                <w:color w:val="auto"/>
                <w:szCs w:val="21"/>
                <w:highlight w:val="none"/>
                <w:lang w:val="en-US" w:eastAsia="zh-CN"/>
              </w:rPr>
              <w:t>2、</w:t>
            </w:r>
            <w:r>
              <w:rPr>
                <w:rFonts w:hint="eastAsia" w:hAnsi="宋体"/>
                <w:b w:val="0"/>
                <w:bCs w:val="0"/>
                <w:color w:val="auto"/>
                <w:szCs w:val="21"/>
                <w:highlight w:val="none"/>
              </w:rPr>
              <w:t>一</w:t>
            </w:r>
            <w:r>
              <w:rPr>
                <w:rFonts w:hAnsi="宋体"/>
                <w:b w:val="0"/>
                <w:bCs w:val="0"/>
                <w:color w:val="auto"/>
                <w:szCs w:val="21"/>
                <w:highlight w:val="none"/>
              </w:rPr>
              <w:t>份正本，</w:t>
            </w:r>
            <w:r>
              <w:rPr>
                <w:rFonts w:hint="eastAsia" w:hAnsi="宋体"/>
                <w:b w:val="0"/>
                <w:bCs w:val="0"/>
                <w:color w:val="auto"/>
                <w:szCs w:val="21"/>
                <w:highlight w:val="none"/>
              </w:rPr>
              <w:t>一</w:t>
            </w:r>
            <w:r>
              <w:rPr>
                <w:rFonts w:hAnsi="宋体"/>
                <w:b w:val="0"/>
                <w:bCs w:val="0"/>
                <w:color w:val="auto"/>
                <w:szCs w:val="21"/>
                <w:highlight w:val="none"/>
              </w:rPr>
              <w:t>份副本</w:t>
            </w:r>
            <w:r>
              <w:rPr>
                <w:rFonts w:hint="eastAsia" w:hAnsi="宋体"/>
                <w:b w:val="0"/>
                <w:bCs w:val="0"/>
                <w:color w:val="auto"/>
                <w:szCs w:val="21"/>
                <w:highlight w:val="none"/>
                <w:lang w:eastAsia="zh-CN"/>
              </w:rPr>
              <w:t>，</w:t>
            </w:r>
            <w:r>
              <w:rPr>
                <w:rFonts w:hint="eastAsia" w:hAnsi="宋体"/>
                <w:b w:val="0"/>
                <w:bCs w:val="0"/>
                <w:color w:val="auto"/>
                <w:highlight w:val="none"/>
              </w:rPr>
              <w:t>装在同一密封袋内</w:t>
            </w:r>
            <w:r>
              <w:rPr>
                <w:rFonts w:hint="eastAsia" w:hAnsi="宋体"/>
                <w:b w:val="0"/>
                <w:bCs w:val="0"/>
                <w:color w:val="auto"/>
                <w:highlight w:val="none"/>
                <w:lang w:eastAsia="zh-CN"/>
              </w:rPr>
              <w:t>，</w:t>
            </w:r>
            <w:r>
              <w:rPr>
                <w:rFonts w:hint="eastAsia" w:hAnsi="宋体" w:cs="宋体"/>
                <w:b w:val="0"/>
                <w:bCs w:val="0"/>
                <w:color w:val="auto"/>
                <w:highlight w:val="none"/>
              </w:rPr>
              <w:t>密封提交。</w:t>
            </w:r>
          </w:p>
          <w:p>
            <w:pPr>
              <w:pStyle w:val="12"/>
              <w:keepNext w:val="0"/>
              <w:keepLines w:val="0"/>
              <w:pageBreakBefore w:val="0"/>
              <w:kinsoku/>
              <w:wordWrap/>
              <w:overflowPunct/>
              <w:topLinePunct w:val="0"/>
              <w:autoSpaceDE/>
              <w:autoSpaceDN/>
              <w:bidi w:val="0"/>
              <w:spacing w:line="420" w:lineRule="exact"/>
              <w:textAlignment w:val="auto"/>
              <w:rPr>
                <w:rFonts w:ascii="Times New Roman" w:hAnsi="Times New Roman" w:cs="Times New Roman"/>
                <w:b w:val="0"/>
                <w:bCs w:val="0"/>
                <w:color w:val="auto"/>
                <w:highlight w:val="none"/>
              </w:rPr>
            </w:pPr>
            <w:r>
              <w:rPr>
                <w:rFonts w:hint="eastAsia" w:ascii="Times New Roman" w:hAnsi="Times New Roman" w:cs="Times New Roman"/>
                <w:b w:val="0"/>
                <w:bCs w:val="0"/>
                <w:color w:val="auto"/>
                <w:highlight w:val="none"/>
                <w:lang w:val="en-US" w:eastAsia="zh-CN"/>
              </w:rPr>
              <w:t>3、</w:t>
            </w:r>
            <w:r>
              <w:rPr>
                <w:rFonts w:hint="eastAsia" w:ascii="Times New Roman" w:hAnsi="Times New Roman" w:cs="Times New Roman"/>
                <w:b w:val="0"/>
                <w:bCs w:val="0"/>
                <w:color w:val="auto"/>
                <w:highlight w:val="none"/>
              </w:rPr>
              <w:t>密封袋上应加盖</w:t>
            </w:r>
            <w:r>
              <w:rPr>
                <w:rFonts w:hint="eastAsia" w:ascii="Times New Roman" w:hAnsi="Times New Roman" w:cs="Times New Roman"/>
                <w:b w:val="0"/>
                <w:bCs w:val="0"/>
                <w:color w:val="auto"/>
                <w:highlight w:val="none"/>
                <w:lang w:val="en-US" w:eastAsia="zh-CN"/>
              </w:rPr>
              <w:t>响应</w:t>
            </w:r>
            <w:r>
              <w:rPr>
                <w:rFonts w:hint="eastAsia" w:ascii="Times New Roman" w:hAnsi="Times New Roman" w:cs="Times New Roman"/>
                <w:b w:val="0"/>
                <w:bCs w:val="0"/>
                <w:color w:val="auto"/>
                <w:highlight w:val="none"/>
              </w:rPr>
              <w:t>人公章</w:t>
            </w:r>
            <w:r>
              <w:rPr>
                <w:rFonts w:hint="eastAsia" w:ascii="Times New Roman" w:hAnsi="Times New Roman" w:cs="Times New Roman"/>
                <w:b w:val="0"/>
                <w:bCs w:val="0"/>
                <w:color w:val="auto"/>
                <w:highlight w:val="none"/>
                <w:lang w:eastAsia="zh-CN"/>
              </w:rPr>
              <w:t>。</w:t>
            </w:r>
          </w:p>
          <w:p>
            <w:pPr>
              <w:pStyle w:val="9"/>
              <w:keepNext w:val="0"/>
              <w:keepLines w:val="0"/>
              <w:pageBreakBefore w:val="0"/>
              <w:widowControl/>
              <w:kinsoku/>
              <w:wordWrap/>
              <w:overflowPunct/>
              <w:topLinePunct w:val="0"/>
              <w:autoSpaceDE/>
              <w:autoSpaceDN/>
              <w:bidi w:val="0"/>
              <w:spacing w:line="420" w:lineRule="exact"/>
              <w:jc w:val="both"/>
              <w:textAlignment w:val="auto"/>
              <w:rPr>
                <w:rFonts w:ascii="宋体" w:hAnsi="宋体" w:eastAsia="宋体" w:cs="宋体"/>
                <w:color w:val="auto"/>
                <w:sz w:val="21"/>
                <w:szCs w:val="21"/>
              </w:rPr>
            </w:pPr>
            <w:r>
              <w:rPr>
                <w:rFonts w:hint="eastAsia" w:ascii="Times New Roman" w:hAnsi="Times New Roman" w:eastAsia="宋体" w:cs="Times New Roman"/>
                <w:b w:val="0"/>
                <w:bCs w:val="0"/>
                <w:color w:val="auto"/>
                <w:kern w:val="2"/>
                <w:sz w:val="21"/>
                <w:szCs w:val="20"/>
                <w:highlight w:val="none"/>
                <w:lang w:val="en-US" w:eastAsia="zh-CN" w:bidi="ar-SA"/>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媒介发布</w:t>
            </w:r>
          </w:p>
        </w:tc>
        <w:tc>
          <w:tcPr>
            <w:tcW w:w="69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auto"/>
                <w:szCs w:val="21"/>
              </w:rPr>
            </w:pP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安庆</w:t>
            </w:r>
            <w:r>
              <w:rPr>
                <w:rFonts w:hint="eastAsia" w:ascii="宋体" w:hAnsi="宋体" w:eastAsia="宋体" w:cs="宋体"/>
                <w:color w:val="auto"/>
                <w:szCs w:val="21"/>
                <w:highlight w:val="none"/>
                <w:lang w:val="en-US" w:eastAsia="zh-CN"/>
              </w:rPr>
              <w:t>职业技术学院（https://www.aqvtc.edu.cn/）招标采购栏目</w:t>
            </w:r>
            <w:r>
              <w:rPr>
                <w:rFonts w:hint="eastAsia" w:ascii="宋体" w:hAnsi="宋体" w:cs="宋体"/>
                <w:color w:val="auto"/>
                <w:szCs w:val="21"/>
                <w:highlight w:val="none"/>
                <w:lang w:val="en-US" w:eastAsia="zh-CN"/>
              </w:rPr>
              <w:t>、安庆市皖宜项目咨询管理有限公司（http://wyxmzx.com/index.html）</w:t>
            </w:r>
            <w:r>
              <w:rPr>
                <w:rFonts w:hint="eastAsia" w:ascii="宋体" w:hAnsi="宋体" w:eastAsia="宋体" w:cs="宋体"/>
                <w:color w:val="auto"/>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7</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谈判时间和地点</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none"/>
              </w:rPr>
              <w:t>2021年8月25日15时30分</w:t>
            </w:r>
          </w:p>
          <w:p>
            <w:pPr>
              <w:spacing w:line="420" w:lineRule="exact"/>
              <w:rPr>
                <w:rFonts w:ascii="宋体" w:hAnsi="宋体" w:cs="宋体"/>
                <w:color w:val="auto"/>
                <w:szCs w:val="21"/>
              </w:rPr>
            </w:pPr>
            <w:r>
              <w:rPr>
                <w:rFonts w:hint="eastAsia" w:ascii="宋体" w:hAnsi="宋体" w:cs="宋体"/>
                <w:color w:val="auto"/>
                <w:szCs w:val="21"/>
              </w:rPr>
              <w:t>地点: 安庆市公共资源交易中心</w:t>
            </w:r>
          </w:p>
          <w:p>
            <w:pPr>
              <w:spacing w:line="420" w:lineRule="exact"/>
              <w:ind w:firstLine="525" w:firstLineChars="250"/>
              <w:rPr>
                <w:rFonts w:ascii="宋体" w:hAnsi="宋体" w:cs="宋体"/>
                <w:color w:val="auto"/>
                <w:szCs w:val="21"/>
              </w:rPr>
            </w:pPr>
            <w:r>
              <w:rPr>
                <w:rFonts w:hint="eastAsia" w:ascii="宋体" w:hAnsi="宋体" w:cs="宋体"/>
                <w:color w:val="auto"/>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p>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评审方法</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b/>
                <w:color w:val="auto"/>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rPr>
              <w:t>履约保证金金额：成交价的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20" w:lineRule="exact"/>
              <w:rPr>
                <w:rFonts w:ascii="宋体" w:hAnsi="宋体" w:cs="宋体"/>
                <w:color w:val="auto"/>
                <w:szCs w:val="21"/>
              </w:rPr>
            </w:pPr>
            <w:r>
              <w:rPr>
                <w:rFonts w:hint="eastAsia" w:ascii="宋体" w:hAnsi="宋体" w:cs="宋体"/>
                <w:color w:val="auto"/>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color w:val="auto"/>
                <w:szCs w:val="21"/>
              </w:rPr>
            </w:pPr>
            <w:r>
              <w:rPr>
                <w:rFonts w:hint="eastAsia" w:ascii="宋体" w:hAnsi="宋体" w:cs="宋体"/>
                <w:color w:val="auto"/>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服务费(元)</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rPr>
            </w:pPr>
            <w:r>
              <w:rPr>
                <w:rFonts w:hint="eastAsia" w:ascii="宋体" w:hAnsi="宋体" w:cs="宋体"/>
                <w:color w:val="auto"/>
                <w:szCs w:val="21"/>
                <w:highlight w:val="none"/>
              </w:rPr>
              <w:t>付款方式</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项目服务成果完成并经采购人验收合格后付清合同价款。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rPr>
            </w:pPr>
            <w:r>
              <w:rPr>
                <w:rFonts w:hint="eastAsia" w:ascii="宋体" w:hAnsi="宋体" w:cs="宋体"/>
                <w:color w:val="auto"/>
                <w:szCs w:val="21"/>
              </w:rPr>
              <w:t>备   注</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val="0"/>
                <w:bCs w:val="0"/>
                <w:color w:val="auto"/>
                <w:szCs w:val="21"/>
                <w:highlight w:val="none"/>
              </w:rPr>
            </w:pPr>
            <w:r>
              <w:rPr>
                <w:rFonts w:hint="eastAsia" w:ascii="宋体" w:hAnsi="宋体" w:cs="宋体"/>
                <w:color w:val="auto"/>
                <w:szCs w:val="21"/>
                <w:highlight w:val="none"/>
              </w:rPr>
              <w:t>1、本竞</w:t>
            </w:r>
            <w:r>
              <w:rPr>
                <w:rFonts w:hint="eastAsia" w:ascii="宋体" w:hAnsi="宋体" w:cs="宋体"/>
                <w:b w:val="0"/>
                <w:bCs w:val="0"/>
                <w:color w:val="auto"/>
                <w:szCs w:val="21"/>
                <w:highlight w:val="none"/>
              </w:rPr>
              <w:t>争性谈判文件的解释权归采购单位；</w:t>
            </w:r>
          </w:p>
          <w:p>
            <w:pPr>
              <w:spacing w:line="420" w:lineRule="exact"/>
              <w:rPr>
                <w:rFonts w:ascii="宋体" w:hAnsi="宋体" w:cs="宋体"/>
                <w:color w:val="auto"/>
                <w:szCs w:val="21"/>
              </w:rPr>
            </w:pPr>
            <w:r>
              <w:rPr>
                <w:rFonts w:hint="eastAsia" w:ascii="宋体" w:hAnsi="宋体" w:cs="宋体"/>
                <w:b w:val="0"/>
                <w:bCs w:val="0"/>
                <w:color w:val="auto"/>
                <w:szCs w:val="21"/>
                <w:highlight w:val="none"/>
              </w:rPr>
              <w:t>2、本项</w:t>
            </w:r>
            <w:r>
              <w:rPr>
                <w:rFonts w:hint="eastAsia" w:ascii="宋体" w:hAnsi="宋体" w:cs="宋体"/>
                <w:b w:val="0"/>
                <w:bCs/>
                <w:color w:val="auto"/>
                <w:szCs w:val="21"/>
                <w:highlight w:val="none"/>
              </w:rPr>
              <w:t>目若涉及到专业分包工程，如成交人没有相应资质，则必须委托有资质的单位实施。该专业分包单位的选定须事先征得采购人同意。</w:t>
            </w:r>
          </w:p>
        </w:tc>
      </w:tr>
    </w:tbl>
    <w:p>
      <w:pPr>
        <w:pStyle w:val="47"/>
        <w:rPr>
          <w:rFonts w:ascii="宋体" w:hAnsi="宋体"/>
          <w:color w:val="auto"/>
        </w:rPr>
      </w:pPr>
      <w:bookmarkStart w:id="11" w:name="_Toc14999"/>
      <w:bookmarkStart w:id="12" w:name="_Toc54939190"/>
      <w:r>
        <w:rPr>
          <w:rFonts w:hint="eastAsia" w:ascii="宋体" w:hAnsi="宋体"/>
          <w:color w:val="auto"/>
        </w:rPr>
        <w:t>第二节  谈判响应人须知</w:t>
      </w:r>
      <w:bookmarkEnd w:id="11"/>
      <w:bookmarkEnd w:id="12"/>
    </w:p>
    <w:p>
      <w:pPr>
        <w:pStyle w:val="7"/>
        <w:ind w:firstLine="472" w:firstLineChars="196"/>
        <w:jc w:val="both"/>
        <w:rPr>
          <w:rFonts w:hAnsi="宋体" w:cs="宋体"/>
          <w:color w:val="auto"/>
        </w:rPr>
      </w:pPr>
      <w:bookmarkStart w:id="13" w:name="_Toc7034"/>
      <w:bookmarkStart w:id="14" w:name="_Toc54939191"/>
      <w:r>
        <w:rPr>
          <w:rFonts w:hint="eastAsia" w:hAnsi="宋体" w:cs="宋体"/>
          <w:color w:val="auto"/>
        </w:rPr>
        <w:t>一、总则</w:t>
      </w:r>
      <w:bookmarkEnd w:id="13"/>
      <w:bookmarkEnd w:id="14"/>
    </w:p>
    <w:p>
      <w:pPr>
        <w:spacing w:line="360" w:lineRule="auto"/>
        <w:ind w:firstLine="422" w:firstLineChars="200"/>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2.1、采购单位是指采购人和采购代理机构。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2.2、谈判响应人是指对“谈判响应人须知前附表”序号2所指的项目表现出兴趣，按照</w:t>
      </w:r>
      <w:r>
        <w:rPr>
          <w:rFonts w:hint="eastAsia" w:ascii="宋体" w:hAnsi="宋体" w:cs="宋体"/>
          <w:color w:val="auto"/>
        </w:rPr>
        <w:t>约定</w:t>
      </w:r>
      <w:r>
        <w:rPr>
          <w:rFonts w:hint="eastAsia" w:ascii="宋体" w:hAnsi="宋体" w:cs="宋体"/>
          <w:color w:val="auto"/>
          <w:szCs w:val="21"/>
        </w:rPr>
        <w:t>的程序，从采购单位获取了竞争性谈判文件，并实际参与了该项目谈判活动的供应商。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3、谈判响应人资格要求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3.1、参与本项目的谈判响应人必须满足的要求：详见谈判响应人须知前附表。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单位负责人为同一人或者存在直接控股、管理关系的不同供应商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rPr>
        <w:t>除单一来源采购项目外，为采购项目提供整体设计、规范编制或者项目管理、监理、检测等服务的供应商</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w:t>
      </w:r>
      <w:r>
        <w:rPr>
          <w:rFonts w:hint="eastAsia" w:ascii="Arial" w:hAnsi="Arial" w:cs="Arial"/>
          <w:color w:val="auto"/>
        </w:rPr>
        <w:t>银行、保险、石油化工、电力、电信等特殊行业的分公司参与</w:t>
      </w:r>
      <w:r>
        <w:rPr>
          <w:rFonts w:hint="eastAsia" w:ascii="宋体" w:hAnsi="宋体" w:cs="宋体"/>
          <w:color w:val="auto"/>
          <w:szCs w:val="21"/>
        </w:rPr>
        <w:t>谈判</w:t>
      </w:r>
      <w:r>
        <w:rPr>
          <w:rFonts w:hint="eastAsia" w:ascii="Arial" w:hAnsi="Arial" w:cs="Arial"/>
          <w:color w:val="auto"/>
        </w:rPr>
        <w:t>，须取得总公司的相关授权（</w:t>
      </w:r>
      <w:r>
        <w:rPr>
          <w:rFonts w:hint="eastAsia" w:ascii="宋体" w:hAnsi="宋体" w:cs="宋体"/>
          <w:color w:val="auto"/>
          <w:szCs w:val="21"/>
        </w:rPr>
        <w:t>谈判响应</w:t>
      </w:r>
      <w:r>
        <w:rPr>
          <w:rFonts w:hint="eastAsia" w:ascii="Arial" w:hAnsi="Arial" w:cs="Arial"/>
          <w:color w:val="auto"/>
        </w:rPr>
        <w:t>文件中须提供）；银行、保险、石油化工、电力、电信等特殊行业的分公司取得总公司相关授权后，</w:t>
      </w:r>
      <w:r>
        <w:rPr>
          <w:rFonts w:hint="eastAsia" w:ascii="宋体" w:hAnsi="宋体" w:cs="宋体"/>
          <w:color w:val="auto"/>
          <w:szCs w:val="21"/>
        </w:rPr>
        <w:t>谈判</w:t>
      </w:r>
      <w:r>
        <w:rPr>
          <w:rFonts w:hint="eastAsia" w:ascii="Arial" w:hAnsi="Arial" w:cs="Arial"/>
          <w:color w:val="auto"/>
        </w:rPr>
        <w:t>文件中关于法定代表人或执行事务合伙人的要求事项可由分公司负责人代理。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4</w:t>
      </w:r>
      <w:r>
        <w:rPr>
          <w:rFonts w:hint="eastAsia" w:ascii="宋体" w:hAnsi="宋体" w:cs="宋体"/>
          <w:color w:val="auto"/>
          <w:szCs w:val="21"/>
        </w:rPr>
        <w:t>、谈判响应人必须确保自己信息真实、准确，否则，谈判响应人因此蒙受损失，采购单位概不负责。</w:t>
      </w:r>
    </w:p>
    <w:p>
      <w:pPr>
        <w:spacing w:line="360" w:lineRule="auto"/>
        <w:ind w:firstLine="422" w:firstLineChars="200"/>
        <w:rPr>
          <w:rFonts w:ascii="宋体" w:hAnsi="宋体" w:cs="宋体"/>
          <w:color w:val="auto"/>
          <w:szCs w:val="21"/>
        </w:rPr>
      </w:pPr>
      <w:r>
        <w:rPr>
          <w:rFonts w:hint="eastAsia" w:ascii="宋体" w:hAnsi="宋体" w:cs="宋体"/>
          <w:b/>
          <w:color w:val="auto"/>
        </w:rPr>
        <w:t>4、踏勘现场：</w:t>
      </w:r>
      <w:r>
        <w:rPr>
          <w:rFonts w:hint="eastAsia" w:ascii="宋体" w:hAnsi="宋体" w:cs="宋体"/>
          <w:color w:val="auto"/>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hint="default" w:ascii="宋体" w:hAnsi="宋体" w:eastAsia="宋体" w:cs="宋体"/>
          <w:color w:val="auto"/>
          <w:szCs w:val="21"/>
          <w:lang w:val="en-US" w:eastAsia="zh-CN"/>
        </w:rPr>
      </w:pPr>
      <w:r>
        <w:rPr>
          <w:rFonts w:hint="eastAsia" w:ascii="宋体" w:hAnsi="宋体" w:cs="宋体"/>
          <w:b/>
          <w:color w:val="auto"/>
          <w:szCs w:val="21"/>
        </w:rPr>
        <w:t>5、联合体响应</w:t>
      </w:r>
      <w:r>
        <w:rPr>
          <w:rFonts w:hint="eastAsia" w:ascii="宋体" w:hAnsi="宋体" w:cs="宋体"/>
          <w:b/>
          <w:color w:val="auto"/>
          <w:szCs w:val="21"/>
          <w:lang w:eastAsia="zh-CN"/>
        </w:rPr>
        <w:t>：</w:t>
      </w:r>
      <w:r>
        <w:rPr>
          <w:rFonts w:hint="eastAsia" w:ascii="宋体" w:hAnsi="宋体" w:cs="宋体"/>
          <w:b/>
          <w:color w:val="auto"/>
          <w:szCs w:val="21"/>
          <w:lang w:val="en-US" w:eastAsia="zh-CN"/>
        </w:rPr>
        <w:t>本项目不接受联合体</w:t>
      </w:r>
    </w:p>
    <w:p>
      <w:pPr>
        <w:spacing w:line="440" w:lineRule="exact"/>
        <w:ind w:firstLine="422" w:firstLineChars="200"/>
        <w:rPr>
          <w:rFonts w:ascii="宋体" w:hAnsi="宋体" w:cs="宋体"/>
          <w:color w:val="auto"/>
          <w:szCs w:val="21"/>
        </w:rPr>
      </w:pPr>
      <w:r>
        <w:rPr>
          <w:rFonts w:hint="eastAsia" w:ascii="宋体" w:hAnsi="宋体" w:cs="宋体"/>
          <w:b/>
          <w:color w:val="auto"/>
        </w:rPr>
        <w:t>6、谈判响应费用：</w:t>
      </w:r>
      <w:r>
        <w:rPr>
          <w:rFonts w:hint="eastAsia" w:ascii="宋体" w:hAnsi="宋体" w:cs="宋体"/>
          <w:b/>
          <w:color w:val="auto"/>
          <w:szCs w:val="21"/>
        </w:rPr>
        <w:t>谈判响应人必须自行承担参加谈判响应的所有费用。</w:t>
      </w:r>
      <w:r>
        <w:rPr>
          <w:rFonts w:hint="eastAsia" w:ascii="宋体" w:hAnsi="宋体" w:cs="宋体"/>
          <w:color w:val="auto"/>
          <w:szCs w:val="21"/>
        </w:rPr>
        <w:t>不论成交与否，采购单位在任何情况下均无义务和责任承担这些费用。</w:t>
      </w:r>
    </w:p>
    <w:p>
      <w:pPr>
        <w:pStyle w:val="7"/>
        <w:ind w:firstLine="472" w:firstLineChars="196"/>
        <w:rPr>
          <w:rFonts w:hAnsi="宋体" w:cs="宋体"/>
          <w:color w:val="auto"/>
        </w:rPr>
      </w:pPr>
      <w:bookmarkStart w:id="15" w:name="_Toc54939192"/>
      <w:bookmarkStart w:id="16" w:name="_Toc8536"/>
      <w:r>
        <w:rPr>
          <w:rFonts w:hint="eastAsia" w:hAnsi="宋体" w:cs="宋体"/>
          <w:color w:val="auto"/>
        </w:rPr>
        <w:t>二、竞争性谈判文件</w:t>
      </w:r>
      <w:bookmarkEnd w:id="15"/>
      <w:bookmarkEnd w:id="16"/>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7、竞争性谈判文件的构成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7.1、竞争性谈判文件包括：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（1）第一章  竞争性谈判公告；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（2）第二章  谈判响应人须知；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（3）第三章  服务需求及技术要求；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（4）第四章  合同主要条款；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（5）第五章  谈判响应文件格式。</w:t>
      </w:r>
    </w:p>
    <w:p>
      <w:pPr>
        <w:spacing w:line="360" w:lineRule="auto"/>
        <w:rPr>
          <w:rFonts w:ascii="宋体" w:hAnsi="宋体" w:cs="宋体"/>
          <w:color w:val="auto"/>
          <w:szCs w:val="21"/>
        </w:rPr>
      </w:pPr>
      <w:r>
        <w:rPr>
          <w:rFonts w:hint="eastAsia" w:ascii="宋体" w:hAnsi="宋体" w:cs="宋体"/>
          <w:color w:val="auto"/>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color w:val="auto"/>
          <w:szCs w:val="21"/>
        </w:rPr>
      </w:pPr>
      <w:r>
        <w:rPr>
          <w:rFonts w:hint="eastAsia" w:ascii="宋体" w:hAnsi="宋体" w:cs="宋体"/>
          <w:color w:val="auto"/>
          <w:szCs w:val="21"/>
        </w:rPr>
        <w:t xml:space="preserve">    7.3、谈判响应人获取竞争性谈判文件后，应仔细检查竞争性谈判文件的所有内容，如有残缺、文本不清晰、表述不一致等问题应在获得竞争性谈判文件 1 日内向采购单位提出</w:t>
      </w:r>
      <w:r>
        <w:rPr>
          <w:rFonts w:hint="eastAsia" w:ascii="宋体" w:hAnsi="宋体" w:cs="宋体"/>
          <w:color w:val="auto"/>
          <w:szCs w:val="21"/>
          <w:highlight w:val="none"/>
          <w:lang w:val="en-US" w:eastAsia="zh-CN"/>
        </w:rPr>
        <w:t>并将问题发送至邮箱504476178@qq.com</w:t>
      </w:r>
      <w:r>
        <w:rPr>
          <w:rFonts w:hint="eastAsia" w:ascii="宋体" w:hAnsi="宋体" w:cs="宋体"/>
          <w:color w:val="auto"/>
          <w:szCs w:val="21"/>
        </w:rPr>
        <w:t>，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color w:val="auto"/>
        </w:rPr>
        <w:t>约定，</w:t>
      </w:r>
      <w:r>
        <w:rPr>
          <w:rFonts w:hint="eastAsia" w:ascii="宋体" w:hAnsi="宋体" w:cs="宋体"/>
          <w:color w:val="auto"/>
          <w:szCs w:val="21"/>
        </w:rPr>
        <w:t>该谈判响应有可能被拒绝。</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8、竞争性谈判文件的澄清</w:t>
      </w:r>
    </w:p>
    <w:p>
      <w:pPr>
        <w:spacing w:line="360" w:lineRule="auto"/>
        <w:rPr>
          <w:rFonts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Cs w:val="21"/>
          <w:highlight w:val="none"/>
        </w:rPr>
        <w:t>8.1、谈判响应人可以要求采购单位对竞争性谈判文件中的有关问题进行答疑或澄清。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8.2、谈判响应人对竞争性谈判文件如有质疑，应在提交响应文件截止时间2个工作日前</w:t>
      </w:r>
      <w:r>
        <w:rPr>
          <w:rFonts w:hint="eastAsia" w:ascii="宋体" w:hAnsi="宋体" w:cs="宋体"/>
          <w:color w:val="auto"/>
          <w:szCs w:val="21"/>
          <w:highlight w:val="none"/>
          <w:lang w:val="en-US" w:eastAsia="zh-CN"/>
        </w:rPr>
        <w:t>向采购单位提出并将问题发送至邮箱504476178@qq.com</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8.3、如果谈判响应人未在</w:t>
      </w:r>
      <w:r>
        <w:rPr>
          <w:rFonts w:hint="eastAsia" w:ascii="宋体" w:hAnsi="宋体" w:cs="宋体"/>
          <w:color w:val="auto"/>
          <w:highlight w:val="none"/>
        </w:rPr>
        <w:t>约定</w:t>
      </w:r>
      <w:r>
        <w:rPr>
          <w:rFonts w:hint="eastAsia" w:ascii="宋体" w:hAnsi="宋体" w:cs="宋体"/>
          <w:color w:val="auto"/>
          <w:szCs w:val="21"/>
          <w:highlight w:val="none"/>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auto"/>
          <w:szCs w:val="21"/>
        </w:rPr>
      </w:pPr>
      <w:r>
        <w:rPr>
          <w:rFonts w:hint="eastAsia" w:ascii="宋体" w:hAnsi="宋体" w:cs="宋体"/>
          <w:color w:val="auto"/>
          <w:szCs w:val="21"/>
          <w:highlight w:val="none"/>
        </w:rPr>
        <w:t xml:space="preserve">    8.4、采购单位对在</w:t>
      </w:r>
      <w:r>
        <w:rPr>
          <w:rFonts w:hint="eastAsia" w:ascii="宋体" w:hAnsi="宋体" w:cs="宋体"/>
          <w:color w:val="auto"/>
          <w:highlight w:val="none"/>
        </w:rPr>
        <w:t>约定</w:t>
      </w:r>
      <w:r>
        <w:rPr>
          <w:rFonts w:hint="eastAsia" w:ascii="宋体" w:hAnsi="宋体" w:cs="宋体"/>
          <w:color w:val="auto"/>
          <w:szCs w:val="21"/>
          <w:highlight w:val="none"/>
        </w:rPr>
        <w:t>时间收到的、且需要做出澄清的问题，将以本须知所述方式进行答复，但不说明问题的来源。</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9、竞争性谈判文件的修改</w:t>
      </w:r>
    </w:p>
    <w:p>
      <w:pPr>
        <w:spacing w:line="360" w:lineRule="auto"/>
        <w:rPr>
          <w:rFonts w:ascii="宋体" w:hAnsi="宋体" w:cs="宋体"/>
          <w:color w:val="auto"/>
          <w:szCs w:val="21"/>
        </w:rPr>
      </w:pPr>
      <w:r>
        <w:rPr>
          <w:rFonts w:hint="eastAsia" w:ascii="宋体" w:hAnsi="宋体" w:cs="宋体"/>
          <w:color w:val="auto"/>
          <w:szCs w:val="21"/>
        </w:rPr>
        <w:t xml:space="preserve">    9.1、采购单位可以对竞争性谈判文件进行修改。</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w:t>
      </w:r>
      <w:r>
        <w:rPr>
          <w:rFonts w:hint="eastAsia" w:ascii="宋体" w:hAnsi="宋体" w:cs="宋体"/>
          <w:b/>
          <w:bCs/>
          <w:color w:val="auto"/>
          <w:szCs w:val="21"/>
          <w:highlight w:val="none"/>
        </w:rPr>
        <w:t>采购单位对谈判响应人质疑的答复和对竞争性谈判文件的澄清、修改、补充说明等内容均通过</w:t>
      </w:r>
      <w:r>
        <w:rPr>
          <w:rFonts w:hint="eastAsia" w:ascii="宋体" w:hAnsi="宋体" w:eastAsia="宋体" w:cs="宋体"/>
          <w:b/>
          <w:bCs/>
          <w:color w:val="auto"/>
          <w:szCs w:val="21"/>
          <w:highlight w:val="none"/>
        </w:rPr>
        <w:t>安庆</w:t>
      </w:r>
      <w:r>
        <w:rPr>
          <w:rFonts w:hint="eastAsia" w:ascii="宋体" w:hAnsi="宋体" w:eastAsia="宋体" w:cs="宋体"/>
          <w:b/>
          <w:bCs/>
          <w:color w:val="auto"/>
          <w:szCs w:val="21"/>
          <w:highlight w:val="none"/>
          <w:lang w:val="en-US" w:eastAsia="zh-CN"/>
        </w:rPr>
        <w:t>职业技术学院（https://www.aqvtc.edu.cn/）招标采购栏目</w:t>
      </w:r>
      <w:r>
        <w:rPr>
          <w:rFonts w:hint="eastAsia" w:ascii="宋体" w:hAnsi="宋体" w:cs="宋体"/>
          <w:b/>
          <w:bCs/>
          <w:color w:val="auto"/>
          <w:szCs w:val="21"/>
          <w:highlight w:val="none"/>
        </w:rPr>
        <w:t>发布，该修改内容作为竞争性谈判文件的组成部分，具有约束作用。</w:t>
      </w:r>
    </w:p>
    <w:p>
      <w:pPr>
        <w:spacing w:line="360" w:lineRule="auto"/>
        <w:rPr>
          <w:rFonts w:ascii="宋体" w:hAnsi="宋体" w:cs="宋体"/>
          <w:color w:val="auto"/>
          <w:szCs w:val="21"/>
        </w:rPr>
      </w:pPr>
      <w:r>
        <w:rPr>
          <w:rFonts w:hint="eastAsia" w:ascii="宋体" w:hAnsi="宋体" w:cs="宋体"/>
          <w:color w:val="auto"/>
          <w:szCs w:val="21"/>
        </w:rPr>
        <w:t xml:space="preserve">    9.3、当竞争性谈判文件与对竞争性谈判文件的澄清、修改、补充等在同一内容的表述上不一致时，以最后发出的为准。</w:t>
      </w:r>
    </w:p>
    <w:p>
      <w:pPr>
        <w:spacing w:line="360" w:lineRule="auto"/>
        <w:rPr>
          <w:rFonts w:ascii="宋体" w:hAnsi="宋体" w:cs="宋体"/>
          <w:color w:val="auto"/>
          <w:szCs w:val="21"/>
        </w:rPr>
      </w:pPr>
      <w:r>
        <w:rPr>
          <w:rFonts w:hint="eastAsia" w:ascii="宋体" w:hAnsi="宋体" w:cs="宋体"/>
          <w:color w:val="auto"/>
          <w:szCs w:val="21"/>
        </w:rPr>
        <w:t xml:space="preserve">    9.4、</w:t>
      </w:r>
      <w:r>
        <w:rPr>
          <w:rFonts w:hint="eastAsia" w:ascii="宋体" w:hAnsi="宋体" w:cs="宋体"/>
          <w:color w:val="auto"/>
          <w:szCs w:val="21"/>
          <w:highlight w:val="none"/>
        </w:rPr>
        <w:t>为使谈判响应人有充分时间对竞争性谈判文件的澄清、修改、补充部分进行研究，或是由于其他原因，采购单位可以决定顺延提交响应文件截止时间，</w:t>
      </w:r>
      <w:r>
        <w:rPr>
          <w:rFonts w:hint="eastAsia" w:ascii="宋体" w:hAnsi="宋体" w:cs="宋体"/>
          <w:b w:val="0"/>
          <w:bCs w:val="0"/>
          <w:color w:val="auto"/>
          <w:szCs w:val="21"/>
          <w:highlight w:val="none"/>
        </w:rPr>
        <w:t>具体时间通过</w:t>
      </w:r>
      <w:r>
        <w:rPr>
          <w:rFonts w:hint="eastAsia" w:ascii="宋体" w:hAnsi="宋体" w:eastAsia="宋体" w:cs="宋体"/>
          <w:b w:val="0"/>
          <w:bCs w:val="0"/>
          <w:color w:val="auto"/>
          <w:szCs w:val="21"/>
          <w:highlight w:val="none"/>
        </w:rPr>
        <w:t>安庆</w:t>
      </w:r>
      <w:r>
        <w:rPr>
          <w:rFonts w:hint="eastAsia" w:ascii="宋体" w:hAnsi="宋体" w:eastAsia="宋体" w:cs="宋体"/>
          <w:b w:val="0"/>
          <w:bCs w:val="0"/>
          <w:color w:val="auto"/>
          <w:szCs w:val="21"/>
          <w:highlight w:val="none"/>
          <w:lang w:val="en-US" w:eastAsia="zh-CN"/>
        </w:rPr>
        <w:t>职业技术学院网站</w:t>
      </w:r>
      <w:r>
        <w:rPr>
          <w:rFonts w:hint="eastAsia" w:ascii="宋体" w:hAnsi="宋体" w:cs="宋体"/>
          <w:b w:val="0"/>
          <w:bCs w:val="0"/>
          <w:color w:val="auto"/>
          <w:szCs w:val="21"/>
          <w:highlight w:val="none"/>
        </w:rPr>
        <w:t>发布。</w:t>
      </w:r>
    </w:p>
    <w:p>
      <w:pPr>
        <w:pStyle w:val="7"/>
        <w:ind w:firstLine="482" w:firstLineChars="200"/>
        <w:rPr>
          <w:rFonts w:hAnsi="宋体" w:cs="宋体"/>
          <w:color w:val="auto"/>
        </w:rPr>
      </w:pPr>
      <w:bookmarkStart w:id="17" w:name="_Toc9821"/>
      <w:bookmarkStart w:id="18" w:name="_Toc54939193"/>
      <w:r>
        <w:rPr>
          <w:rFonts w:hint="eastAsia" w:hAnsi="宋体" w:cs="宋体"/>
          <w:color w:val="auto"/>
        </w:rPr>
        <w:t>三、谈判响应文件的编制</w:t>
      </w:r>
      <w:bookmarkEnd w:id="17"/>
      <w:bookmarkEnd w:id="18"/>
    </w:p>
    <w:p>
      <w:pPr>
        <w:spacing w:line="360" w:lineRule="auto"/>
        <w:rPr>
          <w:rFonts w:ascii="宋体" w:hAnsi="宋体" w:cs="宋体"/>
          <w:b/>
          <w:color w:val="auto"/>
          <w:szCs w:val="21"/>
        </w:rPr>
      </w:pPr>
      <w:r>
        <w:rPr>
          <w:rFonts w:hint="eastAsia" w:ascii="宋体" w:hAnsi="宋体" w:cs="宋体"/>
          <w:b/>
          <w:color w:val="auto"/>
          <w:szCs w:val="21"/>
        </w:rPr>
        <w:t xml:space="preserve">    10、谈判响应的语言及度量衡单位</w:t>
      </w:r>
    </w:p>
    <w:p>
      <w:pPr>
        <w:spacing w:line="360" w:lineRule="auto"/>
        <w:rPr>
          <w:rFonts w:ascii="宋体" w:hAnsi="宋体" w:cs="宋体"/>
          <w:color w:val="auto"/>
          <w:szCs w:val="21"/>
        </w:rPr>
      </w:pPr>
      <w:r>
        <w:rPr>
          <w:rFonts w:hint="eastAsia" w:ascii="宋体" w:hAnsi="宋体" w:cs="宋体"/>
          <w:color w:val="auto"/>
          <w:szCs w:val="21"/>
        </w:rPr>
        <w:t xml:space="preserve">    10.1、谈判响应人的谈判响应文件、谈判响应人与采购单位就谈判响应的所有往来函电，均须使用简体中文。</w:t>
      </w:r>
    </w:p>
    <w:p>
      <w:pPr>
        <w:spacing w:line="360" w:lineRule="auto"/>
        <w:rPr>
          <w:rFonts w:ascii="宋体" w:hAnsi="宋体" w:cs="宋体"/>
          <w:color w:val="auto"/>
          <w:szCs w:val="21"/>
        </w:rPr>
      </w:pPr>
      <w:r>
        <w:rPr>
          <w:rFonts w:hint="eastAsia" w:ascii="宋体" w:hAnsi="宋体" w:cs="宋体"/>
          <w:color w:val="auto"/>
          <w:szCs w:val="21"/>
        </w:rPr>
        <w:t xml:space="preserve">    10.2、除竞争性谈判文件中另有</w:t>
      </w:r>
      <w:r>
        <w:rPr>
          <w:rFonts w:hint="eastAsia" w:ascii="宋体" w:hAnsi="宋体" w:cs="宋体"/>
          <w:color w:val="auto"/>
        </w:rPr>
        <w:t>约定</w:t>
      </w:r>
      <w:r>
        <w:rPr>
          <w:rFonts w:hint="eastAsia" w:ascii="宋体" w:hAnsi="宋体" w:cs="宋体"/>
          <w:color w:val="auto"/>
          <w:szCs w:val="21"/>
        </w:rPr>
        <w:t>外，谈判响应文件所使用的度量衡均须采用中华人民共和国法定计量单位。</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11、谈判响应文件的构成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11.1、谈判响应文件应该按照“谈判响应文件格式”</w:t>
      </w:r>
      <w:r>
        <w:rPr>
          <w:rFonts w:hint="eastAsia" w:ascii="宋体" w:hAnsi="宋体" w:cs="宋体"/>
          <w:color w:val="auto"/>
        </w:rPr>
        <w:t>约定</w:t>
      </w:r>
      <w:r>
        <w:rPr>
          <w:rFonts w:hint="eastAsia" w:ascii="宋体" w:hAnsi="宋体" w:cs="宋体"/>
          <w:color w:val="auto"/>
          <w:szCs w:val="21"/>
        </w:rPr>
        <w:t>的内容和顺序进行编写。</w:t>
      </w:r>
    </w:p>
    <w:p>
      <w:pPr>
        <w:spacing w:line="360" w:lineRule="auto"/>
        <w:ind w:firstLine="420" w:firstLineChars="200"/>
        <w:rPr>
          <w:rFonts w:ascii="宋体" w:hAnsi="宋体" w:cs="宋体"/>
          <w:color w:val="auto"/>
          <w:szCs w:val="21"/>
        </w:rPr>
      </w:pPr>
      <w:r>
        <w:rPr>
          <w:rFonts w:hint="eastAsia" w:ascii="宋体" w:hAnsi="宋体" w:cs="宋体"/>
          <w:color w:val="auto"/>
          <w:szCs w:val="21"/>
        </w:rPr>
        <w:t>11.2、谈判响应人应提交“谈判响应人须知前附表”中</w:t>
      </w:r>
      <w:r>
        <w:rPr>
          <w:rFonts w:hint="eastAsia" w:ascii="宋体" w:hAnsi="宋体" w:cs="宋体"/>
          <w:color w:val="auto"/>
        </w:rPr>
        <w:t>约定</w:t>
      </w:r>
      <w:r>
        <w:rPr>
          <w:rFonts w:hint="eastAsia" w:ascii="宋体" w:hAnsi="宋体" w:cs="宋体"/>
          <w:color w:val="auto"/>
          <w:szCs w:val="21"/>
        </w:rPr>
        <w:t>的谈判响应文件。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11.4、谈判响应人提供的产品质量和服务均能满足竞争性谈判文件</w:t>
      </w:r>
      <w:r>
        <w:rPr>
          <w:rFonts w:hint="eastAsia" w:ascii="宋体" w:hAnsi="宋体" w:cs="宋体"/>
          <w:color w:val="auto"/>
        </w:rPr>
        <w:t>约定</w:t>
      </w:r>
      <w:r>
        <w:rPr>
          <w:rFonts w:hint="eastAsia" w:ascii="宋体" w:hAnsi="宋体" w:cs="宋体"/>
          <w:color w:val="auto"/>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12、谈判响应报价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12.1、谈判响应文件的服务报价表(首轮）上应清楚地标明谈判响应人拟</w:t>
      </w:r>
      <w:r>
        <w:rPr>
          <w:rFonts w:hint="eastAsia" w:ascii="宋体" w:hAnsi="宋体"/>
          <w:color w:val="auto"/>
          <w:szCs w:val="21"/>
        </w:rPr>
        <w:t>服务的名称、人员、设备、价格等内容。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olor w:val="auto"/>
          <w:szCs w:val="21"/>
        </w:rPr>
      </w:pPr>
      <w:r>
        <w:rPr>
          <w:rFonts w:hint="eastAsia" w:ascii="宋体" w:hAnsi="宋体" w:cs="宋体"/>
          <w:color w:val="auto"/>
          <w:szCs w:val="21"/>
        </w:rPr>
        <w:t>12.3、谈判响应人的报价应包含满足本次采购需求的所有费用</w:t>
      </w:r>
      <w:r>
        <w:rPr>
          <w:rFonts w:hint="eastAsia" w:ascii="宋体" w:hAnsi="宋体"/>
          <w:color w:val="auto"/>
          <w:szCs w:val="21"/>
        </w:rPr>
        <w:t>（包括但不限于：</w:t>
      </w:r>
      <w:r>
        <w:rPr>
          <w:rFonts w:hint="eastAsia" w:ascii="宋体" w:hAnsi="宋体" w:cs="宋体"/>
          <w:color w:val="auto"/>
          <w:szCs w:val="21"/>
        </w:rPr>
        <w:t>人工费、材料费、交通费、培训费、印刷费、管理费、保险、税金等）。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12.4、谈判响应报价高于最高限价的谈判响应无效。</w:t>
      </w:r>
    </w:p>
    <w:p>
      <w:pPr>
        <w:spacing w:line="360" w:lineRule="auto"/>
        <w:ind w:firstLine="420" w:firstLineChars="200"/>
        <w:rPr>
          <w:rFonts w:ascii="宋体" w:hAnsi="宋体"/>
          <w:color w:val="auto"/>
          <w:szCs w:val="21"/>
        </w:rPr>
      </w:pPr>
      <w:r>
        <w:rPr>
          <w:rFonts w:hint="eastAsia" w:ascii="宋体" w:hAnsi="宋体"/>
          <w:color w:val="auto"/>
          <w:szCs w:val="21"/>
        </w:rPr>
        <w:t>12.</w:t>
      </w:r>
      <w:r>
        <w:rPr>
          <w:rFonts w:ascii="宋体" w:hAnsi="宋体"/>
          <w:color w:val="auto"/>
          <w:szCs w:val="21"/>
        </w:rPr>
        <w:t>5</w:t>
      </w:r>
      <w:r>
        <w:rPr>
          <w:rFonts w:hint="eastAsia" w:ascii="宋体" w:hAnsi="宋体"/>
          <w:color w:val="auto"/>
          <w:szCs w:val="21"/>
        </w:rPr>
        <w:t>、谈判响应文件内容不一致的确认。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5.2</w:t>
      </w:r>
      <w:r>
        <w:rPr>
          <w:rFonts w:hint="eastAsia" w:ascii="宋体" w:hAnsi="宋体" w:cs="宋体"/>
          <w:color w:val="auto"/>
          <w:szCs w:val="21"/>
        </w:rPr>
        <w:t>、若大写金额和小写金额不一致的，以大写金额为准;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5.3</w:t>
      </w:r>
      <w:r>
        <w:rPr>
          <w:rFonts w:hint="eastAsia" w:ascii="宋体" w:hAnsi="宋体" w:cs="宋体"/>
          <w:color w:val="auto"/>
          <w:szCs w:val="21"/>
        </w:rPr>
        <w:t>、单价金额小数点或者百分比有明显错位的，应以谈判响应函(谈判响应报价)为准，并修正单价。</w:t>
      </w:r>
    </w:p>
    <w:p>
      <w:pPr>
        <w:spacing w:line="360" w:lineRule="auto"/>
        <w:ind w:firstLine="420" w:firstLineChars="200"/>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规定的顺序修正。修正后的报价应当采用书面形式，并加盖公章或者由法定代表人或执行事务合伙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color w:val="auto"/>
          <w:szCs w:val="21"/>
        </w:rPr>
      </w:pPr>
      <w:r>
        <w:rPr>
          <w:rFonts w:hint="eastAsia" w:ascii="宋体" w:hAnsi="宋体" w:cs="宋体"/>
          <w:b/>
          <w:color w:val="auto"/>
          <w:szCs w:val="21"/>
        </w:rPr>
        <w:t>谈判响应货币：</w:t>
      </w:r>
      <w:r>
        <w:rPr>
          <w:rFonts w:hint="eastAsia" w:ascii="宋体" w:hAnsi="宋体" w:cs="宋体"/>
          <w:color w:val="auto"/>
          <w:szCs w:val="21"/>
        </w:rPr>
        <w:t>人民币。</w:t>
      </w:r>
    </w:p>
    <w:p>
      <w:pPr>
        <w:numPr>
          <w:ilvl w:val="0"/>
          <w:numId w:val="1"/>
        </w:num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谈判响应保证金</w:t>
      </w:r>
      <w:r>
        <w:rPr>
          <w:rFonts w:hint="eastAsia" w:ascii="宋体" w:hAnsi="宋体" w:cs="宋体"/>
          <w:b/>
          <w:color w:val="auto"/>
          <w:szCs w:val="21"/>
          <w:lang w:eastAsia="zh-CN"/>
        </w:rPr>
        <w:t>：</w:t>
      </w:r>
      <w:r>
        <w:rPr>
          <w:rFonts w:hint="eastAsia" w:ascii="宋体" w:hAnsi="宋体" w:cs="宋体"/>
          <w:color w:val="auto"/>
          <w:szCs w:val="21"/>
          <w:lang w:val="en-US" w:eastAsia="zh-CN"/>
        </w:rPr>
        <w:t>本项目不收取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15、谈判响应有效期</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15.1、谈判响应有效期见“谈判响应人须知前附表”的约定。</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15.3、在特殊情况下，采购单位可于原谈判响应有效期满之前，向成交候选人提出延长谈判响应有效期的要求。成交候选人可以拒绝采购单位的这种要求</w:t>
      </w:r>
      <w:r>
        <w:rPr>
          <w:rFonts w:hint="eastAsia" w:ascii="宋体" w:hAnsi="宋体" w:cs="宋体"/>
          <w:color w:val="auto"/>
          <w:szCs w:val="21"/>
          <w:lang w:eastAsia="zh-CN"/>
        </w:rPr>
        <w:t>，</w:t>
      </w:r>
      <w:r>
        <w:rPr>
          <w:rFonts w:hint="eastAsia" w:ascii="宋体" w:hAnsi="宋体" w:cs="宋体"/>
          <w:color w:val="auto"/>
          <w:szCs w:val="21"/>
        </w:rPr>
        <w:t>但是对拒绝延长谈判响应有效期的成交候选人，采购单位有权利拒绝其谈判响应文件。同意延长谈判响应有效期的成交候选人既不能要求也不允许修改竞争性谈判文件和其谈判响应文件所有内容。有关谈判响应保证金的约定，在延长的谈判响应有效期内继续有效。提出谈判响应有效期的延长要求和成交候选人对该要求的答复均采用书面形式。</w:t>
      </w:r>
    </w:p>
    <w:p>
      <w:pPr>
        <w:pStyle w:val="12"/>
        <w:spacing w:line="360" w:lineRule="exact"/>
        <w:ind w:firstLine="422" w:firstLineChars="200"/>
        <w:rPr>
          <w:rFonts w:hAnsi="宋体" w:cs="宋体"/>
          <w:b/>
          <w:color w:val="auto"/>
          <w:szCs w:val="21"/>
        </w:rPr>
      </w:pPr>
      <w:r>
        <w:rPr>
          <w:rFonts w:hint="eastAsia" w:hAnsi="宋体" w:cs="宋体"/>
          <w:b/>
          <w:color w:val="auto"/>
          <w:szCs w:val="21"/>
        </w:rPr>
        <w:t>16、谈判响应文件的签署</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16.1、谈判响应人应按竞争性谈判文件约定的格式，编制并提交谈判响应文件。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16.2、谈判响应文件应由谈判响应人的法定代表人或执行事务合伙人</w:t>
      </w:r>
      <w:r>
        <w:rPr>
          <w:rFonts w:hint="eastAsia" w:ascii="宋体" w:hAnsi="宋体" w:cs="宋体"/>
          <w:color w:val="auto"/>
          <w:szCs w:val="21"/>
          <w:lang w:val="en-US" w:eastAsia="zh-CN"/>
        </w:rPr>
        <w:t>或委托代理人签字或</w:t>
      </w:r>
      <w:r>
        <w:rPr>
          <w:rFonts w:hint="eastAsia" w:ascii="宋体" w:hAnsi="宋体" w:cs="宋体"/>
          <w:color w:val="auto"/>
          <w:szCs w:val="21"/>
        </w:rPr>
        <w:t>加盖印章，并加盖谈判响应人公章。</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16.3、谈判响应文件不得行间插字、涂改或增删。</w:t>
      </w:r>
    </w:p>
    <w:p>
      <w:pPr>
        <w:widowControl/>
        <w:spacing w:line="500" w:lineRule="exact"/>
        <w:ind w:firstLine="420" w:firstLineChars="200"/>
        <w:jc w:val="left"/>
        <w:rPr>
          <w:rFonts w:ascii="宋体" w:hAnsi="宋体" w:cs="宋体"/>
          <w:b/>
          <w:bCs/>
          <w:color w:val="auto"/>
          <w:szCs w:val="21"/>
        </w:rPr>
      </w:pPr>
      <w:r>
        <w:rPr>
          <w:rFonts w:hint="eastAsia" w:ascii="宋体" w:hAnsi="宋体" w:cs="宋体"/>
          <w:color w:val="auto"/>
          <w:szCs w:val="21"/>
        </w:rPr>
        <w:t>16.4、</w:t>
      </w:r>
      <w:r>
        <w:rPr>
          <w:rFonts w:hint="eastAsia" w:ascii="宋体" w:hAnsi="宋体" w:cs="宋体"/>
          <w:b/>
          <w:color w:val="auto"/>
        </w:rPr>
        <w:t>谈判响应文件封面、谈判响应函、服务报价表（首轮）、最终报价表、服务内容及质量要求响应表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均应</w:t>
      </w:r>
      <w:bookmarkStart w:id="60" w:name="_GoBack"/>
      <w:bookmarkEnd w:id="60"/>
      <w:r>
        <w:rPr>
          <w:rFonts w:hint="eastAsia" w:ascii="宋体" w:hAnsi="宋体" w:cs="宋体"/>
          <w:b/>
          <w:color w:val="auto"/>
        </w:rPr>
        <w:t>加盖谈判响应人公章并经法定代表人或执行事务合伙人</w:t>
      </w:r>
      <w:r>
        <w:rPr>
          <w:rFonts w:hint="eastAsia" w:ascii="宋体" w:hAnsi="宋体" w:cs="宋体"/>
          <w:b/>
          <w:color w:val="auto"/>
          <w:lang w:val="en-US" w:eastAsia="zh-CN"/>
        </w:rPr>
        <w:t>或委托代理人签字或</w:t>
      </w:r>
      <w:r>
        <w:rPr>
          <w:rFonts w:hint="eastAsia" w:ascii="宋体" w:hAnsi="宋体" w:cs="宋体"/>
          <w:b/>
          <w:color w:val="auto"/>
        </w:rPr>
        <w:t>加盖印章。</w:t>
      </w:r>
      <w:r>
        <w:rPr>
          <w:rFonts w:hint="eastAsia" w:ascii="宋体" w:hAnsi="宋体" w:cs="宋体"/>
          <w:b/>
          <w:color w:val="auto"/>
          <w:spacing w:val="-2"/>
        </w:rPr>
        <w:t>谈判响应文件封面、谈判响应函及服务报价表（首轮）、最终报价表、</w:t>
      </w:r>
      <w:r>
        <w:rPr>
          <w:rFonts w:hint="eastAsia" w:ascii="宋体" w:hAnsi="宋体" w:cs="宋体"/>
          <w:b/>
          <w:color w:val="auto"/>
        </w:rPr>
        <w:t>服务内容及质量要求响应表</w:t>
      </w:r>
      <w:r>
        <w:rPr>
          <w:rFonts w:hint="eastAsia" w:ascii="宋体" w:hAnsi="宋体" w:cs="宋体"/>
          <w:b/>
          <w:color w:val="auto"/>
          <w:lang w:eastAsia="zh-CN"/>
        </w:rPr>
        <w:t>、</w:t>
      </w:r>
      <w:r>
        <w:rPr>
          <w:rFonts w:hint="eastAsia" w:ascii="宋体" w:hAnsi="宋体" w:cs="宋体"/>
          <w:b/>
          <w:color w:val="auto"/>
          <w:lang w:val="en-US" w:eastAsia="zh-CN"/>
        </w:rPr>
        <w:t>声明</w:t>
      </w:r>
      <w:r>
        <w:rPr>
          <w:rFonts w:hint="eastAsia" w:ascii="宋体" w:hAnsi="宋体" w:cs="宋体"/>
          <w:b/>
          <w:color w:val="auto"/>
        </w:rPr>
        <w:t>的签字或盖章</w:t>
      </w:r>
      <w:r>
        <w:rPr>
          <w:rFonts w:hint="eastAsia" w:ascii="宋体" w:hAnsi="宋体" w:cs="宋体"/>
          <w:b/>
          <w:color w:val="auto"/>
          <w:spacing w:val="-2"/>
        </w:rPr>
        <w:t>不符合谈判文件要求的，谈判小组可要求其法定代表人或执行事务合伙人或其委托的委托代理人补齐签字或承诺在签订合同前按照谈判文件要求加盖印章。</w:t>
      </w:r>
    </w:p>
    <w:p>
      <w:pPr>
        <w:pStyle w:val="7"/>
        <w:numPr>
          <w:ilvl w:val="0"/>
          <w:numId w:val="2"/>
        </w:numPr>
        <w:ind w:firstLine="472" w:firstLineChars="196"/>
        <w:rPr>
          <w:rFonts w:hAnsi="宋体" w:cs="宋体"/>
          <w:color w:val="auto"/>
        </w:rPr>
      </w:pPr>
      <w:bookmarkStart w:id="19" w:name="_Toc25319"/>
      <w:bookmarkStart w:id="20" w:name="_Toc54939194"/>
      <w:r>
        <w:rPr>
          <w:rFonts w:hint="eastAsia" w:hAnsi="宋体" w:cs="宋体"/>
          <w:color w:val="auto"/>
        </w:rPr>
        <w:t>谈判响应文件的提交</w:t>
      </w:r>
      <w:bookmarkEnd w:id="19"/>
      <w:bookmarkEnd w:id="20"/>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17、谈判响应文件的的装订、密封和标记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.1响应文件需采用固定胶装方式装订并编码，不得采用活页装订。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.2供应商应将响应文件的正本、副本同时密封于一个文件袋内。包装密封，并在封袋的封口处加盖单位公章。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.3密封袋上应写明：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采购人名称：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谈判响应人名称（加盖谈判响应人公章）。</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lang w:val="en-US" w:eastAsia="zh-CN"/>
        </w:rPr>
        <w:t>17.4</w:t>
      </w:r>
      <w:r>
        <w:rPr>
          <w:rFonts w:hint="eastAsia" w:ascii="宋体" w:hAnsi="宋体" w:cs="宋体"/>
          <w:color w:val="auto"/>
          <w:szCs w:val="21"/>
          <w:highlight w:val="none"/>
        </w:rPr>
        <w:t>未按上述要求装订、密封和标记的响应文件，将不被接受。</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18、谈判响应截止时间</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hint="eastAsia" w:ascii="宋体" w:hAnsi="宋体" w:cs="宋体"/>
          <w:b/>
          <w:color w:val="auto"/>
          <w:szCs w:val="21"/>
        </w:rPr>
      </w:pPr>
      <w:r>
        <w:rPr>
          <w:rFonts w:hint="eastAsia" w:ascii="宋体" w:hAnsi="宋体" w:cs="宋体"/>
          <w:color w:val="auto"/>
          <w:szCs w:val="21"/>
          <w:highlight w:val="none"/>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19、谈判响应文件的修改与撤回</w:t>
      </w:r>
    </w:p>
    <w:p>
      <w:pPr>
        <w:widowControl/>
        <w:spacing w:line="500" w:lineRule="exact"/>
        <w:ind w:firstLine="420" w:firstLineChars="200"/>
        <w:jc w:val="left"/>
        <w:rPr>
          <w:rFonts w:ascii="宋体" w:hAnsi="宋体" w:cs="宋体"/>
          <w:color w:val="auto"/>
          <w:szCs w:val="21"/>
          <w:highlight w:val="none"/>
        </w:rPr>
      </w:pPr>
      <w:bookmarkStart w:id="21" w:name="_Toc23598"/>
      <w:bookmarkStart w:id="22" w:name="_Toc54939195"/>
      <w:r>
        <w:rPr>
          <w:rFonts w:hint="eastAsia" w:ascii="宋体" w:hAnsi="宋体" w:cs="宋体"/>
          <w:color w:val="auto"/>
          <w:szCs w:val="21"/>
          <w:highlight w:val="none"/>
        </w:rPr>
        <w:t>19.1、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在提交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文件以后，在规定的</w:t>
      </w: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截止时间之前，可以以书面形式补充、修改或撤回已提交的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文件，并以书面形式通知</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人。补充、修改的内容为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文件的组成部分。</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对投标文件的补充、修改或撤回通知，应按须知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条有关规定密封、标记和提交，并在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文件密封袋上清楚标明“补充、修改”或“撤回”字样。否则，补充、修改或撤回通知无效。</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19.3、在规定的响应文件截止时间之后，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不得补充、修改投标文件。</w:t>
      </w:r>
    </w:p>
    <w:p>
      <w:pPr>
        <w:pStyle w:val="7"/>
        <w:ind w:firstLine="472" w:firstLineChars="196"/>
        <w:rPr>
          <w:rFonts w:hAnsi="宋体" w:cs="宋体"/>
          <w:color w:val="auto"/>
        </w:rPr>
      </w:pPr>
      <w:r>
        <w:rPr>
          <w:rFonts w:hint="eastAsia" w:hAnsi="宋体" w:cs="宋体"/>
          <w:color w:val="auto"/>
        </w:rPr>
        <w:t>五、</w:t>
      </w:r>
      <w:bookmarkEnd w:id="21"/>
      <w:r>
        <w:rPr>
          <w:rFonts w:hint="eastAsia" w:hAnsi="宋体" w:cs="宋体"/>
          <w:color w:val="auto"/>
        </w:rPr>
        <w:t>谈判程序</w:t>
      </w:r>
      <w:bookmarkEnd w:id="22"/>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20、谈判时间和地点：</w:t>
      </w:r>
      <w:r>
        <w:rPr>
          <w:rFonts w:hint="eastAsia" w:ascii="宋体" w:hAnsi="宋体" w:cs="宋体"/>
          <w:color w:val="auto"/>
          <w:szCs w:val="21"/>
        </w:rPr>
        <w:t>采购单位将在“谈判响应人须知前附表”约定的时间和地点谈判，并邀请监督人员、所有谈判响应人的法定代表人或执行事务合伙人或</w:t>
      </w:r>
      <w:r>
        <w:rPr>
          <w:rFonts w:hint="eastAsia" w:ascii="宋体" w:hAnsi="宋体" w:cs="宋体"/>
          <w:color w:val="auto"/>
          <w:szCs w:val="21"/>
          <w:lang w:val="en-US" w:eastAsia="zh-CN"/>
        </w:rPr>
        <w:t>委托代理人</w:t>
      </w:r>
      <w:r>
        <w:rPr>
          <w:rFonts w:hint="eastAsia" w:ascii="宋体" w:hAnsi="宋体" w:cs="宋体"/>
          <w:color w:val="auto"/>
          <w:szCs w:val="21"/>
        </w:rPr>
        <w:t>按时参加。</w:t>
      </w:r>
    </w:p>
    <w:p>
      <w:pPr>
        <w:widowControl/>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21、谈判程序</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21.1、谈判由采购单位代表主持，主持人按下列程序进行：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21.1.2、宣布开标纪律；</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21.1.3、由采购人代表查验谈判响应人相关证件资料并宣布查验结果；</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21.1.4、由各谈判响应人互相检查谈判响应文件的密封情况，并确认谈判响应人是否存在异议；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21.1.5现场开启响应文件；</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21.1.6依次当众唱标，公布谈判响应人名称、谈判响应首轮报价及谈判响应函其他内容，并记录在案；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21.1.6谈判响应人代表、采购人代表、记录人等有关人员在开标记录表上签字确认；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21.1.7暂时休会，进入评审阶段；</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21.1.8谈判小组与各个谈判响应人进行谈判；</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21.1.9各个谈判响应人进行最终报价；</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highlight w:val="none"/>
        </w:rPr>
        <w:t>21.1.10 复会，宣布评审结果。</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21.2、查验证件</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21.2.1、采购人审查谈判响应人以下证件，</w:t>
      </w:r>
      <w:r>
        <w:rPr>
          <w:rFonts w:hint="eastAsia" w:ascii="宋体" w:hAnsi="宋体"/>
          <w:color w:val="auto"/>
          <w:szCs w:val="21"/>
        </w:rPr>
        <w:t>若证件不全或不符合要求，则查验不合格,由谈判小组认定其谈判响应无效。</w:t>
      </w:r>
    </w:p>
    <w:p>
      <w:pPr>
        <w:widowControl/>
        <w:spacing w:line="500" w:lineRule="exact"/>
        <w:ind w:firstLine="422" w:firstLineChars="200"/>
        <w:jc w:val="left"/>
        <w:rPr>
          <w:rFonts w:ascii="宋体" w:hAnsi="宋体" w:cs="宋体"/>
          <w:b/>
          <w:bCs/>
          <w:color w:val="auto"/>
          <w:szCs w:val="21"/>
        </w:rPr>
      </w:pPr>
      <w:r>
        <w:rPr>
          <w:rFonts w:hint="eastAsia" w:ascii="宋体" w:hAnsi="宋体"/>
          <w:b/>
          <w:bCs w:val="0"/>
          <w:color w:val="auto"/>
          <w:szCs w:val="21"/>
          <w:highlight w:val="none"/>
        </w:rPr>
        <w:t>法定代表人或执行事务合伙人应出示有效二代居民身份证</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营业执照复印件</w:t>
      </w:r>
      <w:r>
        <w:rPr>
          <w:rFonts w:hint="eastAsia" w:ascii="宋体" w:hAnsi="宋体"/>
          <w:b/>
          <w:bCs w:val="0"/>
          <w:color w:val="auto"/>
          <w:szCs w:val="21"/>
          <w:highlight w:val="none"/>
        </w:rPr>
        <w:t>或委托代理人应出示</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授权书</w:t>
      </w:r>
      <w:r>
        <w:rPr>
          <w:rFonts w:hint="eastAsia" w:ascii="宋体" w:hAnsi="宋体"/>
          <w:b/>
          <w:bCs w:val="0"/>
          <w:color w:val="auto"/>
          <w:szCs w:val="21"/>
          <w:highlight w:val="none"/>
        </w:rPr>
        <w:t>格式见附件）</w:t>
      </w:r>
      <w:r>
        <w:rPr>
          <w:rFonts w:hint="eastAsia" w:ascii="宋体" w:hAnsi="宋体"/>
          <w:b/>
          <w:bCs w:val="0"/>
          <w:color w:val="auto"/>
          <w:szCs w:val="21"/>
        </w:rPr>
        <w:t xml:space="preserve">  </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21.3、谈判响应人必须对其谈判响应文件中所有资料的真实性负责。若发现谈判响应人有弄虚作假行为的，由相关管理部门按照竞争性谈判文件相应条款对其做相应处罚。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22、谈判响应文件的有效性</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22.1、谈判响应文件有下列情形之一的，将不予受理：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（1）逾期送达的或者未送达至指定地点的；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（2）未按竞争性谈判文件要求包装、密封的。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22.2、开标过程中发现有下列情况的，由谈判小组评审后，认定为谈判响应无效：</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22.2.1、谈判响应人未按要求参加开标会、未按要求出示</w:t>
      </w:r>
      <w:r>
        <w:rPr>
          <w:rFonts w:hint="eastAsia" w:ascii="宋体" w:hAnsi="宋体" w:cs="宋体"/>
          <w:color w:val="auto"/>
          <w:szCs w:val="21"/>
          <w:lang w:val="en-US" w:eastAsia="zh-CN"/>
        </w:rPr>
        <w:t>材料</w:t>
      </w:r>
      <w:r>
        <w:rPr>
          <w:rFonts w:hint="eastAsia" w:ascii="宋体" w:hAnsi="宋体" w:cs="宋体"/>
          <w:color w:val="auto"/>
          <w:szCs w:val="21"/>
        </w:rPr>
        <w:t>供现场查验或经查验不合格的；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22.2.2</w:t>
      </w:r>
      <w:r>
        <w:rPr>
          <w:rFonts w:hint="eastAsia" w:ascii="宋体" w:hAnsi="宋体" w:cs="宋体"/>
          <w:color w:val="auto"/>
        </w:rPr>
        <w:t>谈判响应文件封面、谈判响应函、服务报价表（首轮）、最终报价表、服务内容及质量要求响应表</w:t>
      </w:r>
      <w:r>
        <w:rPr>
          <w:rFonts w:hint="eastAsia" w:ascii="宋体" w:hAnsi="宋体" w:cs="宋体"/>
          <w:color w:val="auto"/>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22.2.3、谈判响应报价高于谈判最高限价的；</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22.2.</w:t>
      </w:r>
      <w:r>
        <w:rPr>
          <w:rFonts w:hint="eastAsia" w:ascii="宋体" w:hAnsi="宋体" w:cs="宋体"/>
          <w:color w:val="auto"/>
          <w:szCs w:val="21"/>
          <w:lang w:val="en-US" w:eastAsia="zh-CN"/>
        </w:rPr>
        <w:t>4</w:t>
      </w:r>
      <w:r>
        <w:rPr>
          <w:rFonts w:hint="eastAsia" w:ascii="宋体" w:hAnsi="宋体" w:cs="宋体"/>
          <w:color w:val="auto"/>
          <w:szCs w:val="21"/>
        </w:rPr>
        <w:t>、法律、法规及竞争性谈判文件约定的其它情形。</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22.3、谈判响应人存在下列情形之一，经谈判小组评审后，认定为谈判响应无效：</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(1)被责令停业且处于有效期内的；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(2)被安庆市行政区域内公共资源交易监管部门限制投标资格且处于有效期内；</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(3)财产被接管或冻结可能影响本项目正常实施的；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(4)法律、法规规定及竞争性谈判文件约定的其他情形。</w:t>
      </w:r>
    </w:p>
    <w:p>
      <w:pPr>
        <w:widowControl/>
        <w:spacing w:line="500" w:lineRule="exact"/>
        <w:ind w:firstLine="420"/>
        <w:jc w:val="left"/>
        <w:rPr>
          <w:rFonts w:ascii="宋体" w:hAnsi="宋体" w:cs="宋体"/>
          <w:color w:val="auto"/>
          <w:szCs w:val="21"/>
        </w:rPr>
      </w:pPr>
      <w:r>
        <w:rPr>
          <w:rFonts w:ascii="宋体" w:hAnsi="宋体"/>
          <w:color w:val="auto"/>
          <w:szCs w:val="21"/>
        </w:rPr>
        <w:t>22.4 各级人民政府财政部门依法对参加政府采购活动的供应商作出的禁止参加政府采购活动等行政处罚决定在全国范围内生效。</w:t>
      </w:r>
      <w:r>
        <w:rPr>
          <w:rFonts w:hint="eastAsia" w:ascii="宋体" w:hAnsi="宋体"/>
          <w:color w:val="auto"/>
          <w:szCs w:val="21"/>
        </w:rPr>
        <w:t>谈判响应人受到</w:t>
      </w:r>
      <w:r>
        <w:rPr>
          <w:rFonts w:ascii="宋体" w:hAnsi="宋体"/>
          <w:color w:val="auto"/>
          <w:szCs w:val="21"/>
        </w:rPr>
        <w:t>财政部门依法</w:t>
      </w:r>
      <w:r>
        <w:rPr>
          <w:rFonts w:hint="eastAsia" w:ascii="宋体" w:hAnsi="宋体"/>
          <w:color w:val="auto"/>
          <w:szCs w:val="21"/>
        </w:rPr>
        <w:t>作出的</w:t>
      </w:r>
      <w:r>
        <w:rPr>
          <w:rFonts w:ascii="宋体" w:hAnsi="宋体"/>
          <w:color w:val="auto"/>
          <w:szCs w:val="21"/>
        </w:rPr>
        <w:t>禁止参加政府采购活动</w:t>
      </w:r>
      <w:r>
        <w:rPr>
          <w:rFonts w:hint="eastAsia" w:ascii="宋体" w:hAnsi="宋体"/>
          <w:color w:val="auto"/>
          <w:szCs w:val="21"/>
        </w:rPr>
        <w:t>且在有效期内的</w:t>
      </w:r>
      <w:r>
        <w:rPr>
          <w:rFonts w:ascii="宋体" w:hAnsi="宋体"/>
          <w:color w:val="auto"/>
          <w:szCs w:val="21"/>
        </w:rPr>
        <w:t>行政处罚</w:t>
      </w:r>
      <w:r>
        <w:rPr>
          <w:rFonts w:hint="eastAsia" w:ascii="宋体" w:hAnsi="宋体"/>
          <w:color w:val="auto"/>
          <w:szCs w:val="21"/>
        </w:rPr>
        <w:t>，其谈判响应无效。</w:t>
      </w:r>
    </w:p>
    <w:p>
      <w:pPr>
        <w:pStyle w:val="7"/>
        <w:spacing w:line="360" w:lineRule="auto"/>
        <w:ind w:firstLine="472" w:firstLineChars="196"/>
        <w:rPr>
          <w:rFonts w:hAnsi="宋体" w:cs="宋体"/>
          <w:color w:val="auto"/>
        </w:rPr>
      </w:pPr>
      <w:bookmarkStart w:id="23" w:name="_Toc28310"/>
      <w:bookmarkStart w:id="24" w:name="_Toc54939196"/>
      <w:r>
        <w:rPr>
          <w:rFonts w:hint="eastAsia" w:hAnsi="宋体" w:cs="宋体"/>
          <w:color w:val="auto"/>
        </w:rPr>
        <w:t>六、</w:t>
      </w:r>
      <w:bookmarkEnd w:id="23"/>
      <w:r>
        <w:rPr>
          <w:rFonts w:hint="eastAsia" w:hAnsi="宋体" w:cs="宋体"/>
          <w:color w:val="auto"/>
        </w:rPr>
        <w:t>谈判</w:t>
      </w:r>
      <w:bookmarkEnd w:id="24"/>
    </w:p>
    <w:p>
      <w:pPr>
        <w:widowControl/>
        <w:spacing w:line="360" w:lineRule="auto"/>
        <w:jc w:val="left"/>
        <w:rPr>
          <w:rFonts w:ascii="宋体" w:hAnsi="宋体" w:cs="宋体"/>
          <w:color w:val="auto"/>
          <w:szCs w:val="21"/>
        </w:rPr>
      </w:pPr>
      <w:r>
        <w:rPr>
          <w:rFonts w:hint="eastAsia" w:ascii="宋体" w:hAnsi="宋体" w:cs="宋体"/>
          <w:b/>
          <w:bCs/>
          <w:color w:val="auto"/>
          <w:szCs w:val="21"/>
        </w:rPr>
        <w:t xml:space="preserve">    23、谈判小组</w:t>
      </w:r>
      <w:r>
        <w:rPr>
          <w:rFonts w:hint="eastAsia" w:ascii="宋体" w:hAnsi="宋体" w:cs="宋体"/>
          <w:color w:val="auto"/>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24、评审方法：</w:t>
      </w:r>
      <w:r>
        <w:rPr>
          <w:rFonts w:hint="eastAsia" w:ascii="宋体" w:hAnsi="宋体" w:cs="宋体"/>
          <w:color w:val="auto"/>
          <w:szCs w:val="21"/>
        </w:rPr>
        <w:t>本次谈判采用符合性评审的有效最低价评审方法。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rPr>
        <w:t>25、评审程序</w:t>
      </w:r>
      <w:r>
        <w:rPr>
          <w:rFonts w:hint="eastAsia" w:ascii="宋体" w:hAnsi="宋体" w:cs="宋体"/>
          <w:color w:val="auto"/>
          <w:szCs w:val="21"/>
        </w:rPr>
        <w:t>：评审按照谈判响应文件符合性审查、报价评审、澄清有关问题、失信核查和确定成交候选人排序进行</w:t>
      </w:r>
      <w:r>
        <w:rPr>
          <w:rFonts w:hint="eastAsia" w:ascii="宋体" w:hAnsi="宋体" w:cs="宋体"/>
          <w:color w:val="auto"/>
          <w:szCs w:val="21"/>
          <w:highlight w:val="none"/>
        </w:rPr>
        <w:t>评审。</w:t>
      </w:r>
      <w:r>
        <w:rPr>
          <w:rFonts w:hint="eastAsia" w:ascii="宋体" w:hAnsi="宋体" w:cs="宋体"/>
          <w:b/>
          <w:bCs/>
          <w:color w:val="auto"/>
          <w:szCs w:val="21"/>
          <w:highlight w:val="none"/>
        </w:rPr>
        <w:t>如有任一项未通过的则不进入下一项评审。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25.1、谈判响应文件符合性审查，包括但不限于以下内容：</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（1）谈判响应人资格是否符合竞争性谈判文件要求；</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（2）谈判响应文件是否按竞争性谈判文件的要求进行编制、盖章和标记；</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（3）竞争性谈判文件要求提交的各种资格证明文件是否真实、完整、合法、有效；</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）所提供的服务是否有缺少；</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）谈判响应的服务内容及质量要求是否完全响应或优于竞争性谈判文件要求；</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）服务方案是否完整、可行且完全响应或优于竞争性谈判文件要求；</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）谈判响应文件对法律、法规和竞争性谈判文件其他明确要求的符合性；</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）联合体谈判响应是否提交联合体谈判响应协议书，且联合体协议书中是否明确牵头单位；</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）谈判响应文件是否附有采购人不能接受的条件；</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）谈判响应文件是否存在竞争性谈判文件中约定的无效谈判响应文件的其他情形；</w:t>
      </w:r>
    </w:p>
    <w:p>
      <w:pPr>
        <w:widowControl/>
        <w:spacing w:line="500" w:lineRule="exact"/>
        <w:ind w:firstLine="405"/>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）谈判响应文件是否符合竞争性谈判文件的要求。</w:t>
      </w:r>
    </w:p>
    <w:p>
      <w:pPr>
        <w:widowControl/>
        <w:spacing w:line="500" w:lineRule="exact"/>
        <w:ind w:firstLine="420" w:firstLineChars="200"/>
        <w:jc w:val="left"/>
        <w:rPr>
          <w:rFonts w:ascii="宋体" w:hAnsi="宋体" w:cs="宋体"/>
          <w:b/>
          <w:color w:val="auto"/>
          <w:szCs w:val="21"/>
        </w:rPr>
      </w:pPr>
      <w:r>
        <w:rPr>
          <w:rFonts w:hint="eastAsia" w:ascii="宋体" w:hAnsi="宋体" w:cs="宋体"/>
          <w:color w:val="auto"/>
          <w:szCs w:val="21"/>
        </w:rPr>
        <w:t>25.2、</w:t>
      </w:r>
      <w:r>
        <w:rPr>
          <w:rFonts w:hint="eastAsia" w:ascii="宋体" w:hAnsi="宋体" w:cs="宋体"/>
          <w:b/>
          <w:color w:val="auto"/>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szCs w:val="21"/>
        </w:rPr>
        <w:t>25.4、报价评审：谈判响应报价不得超过谈判最高限价，否则报价评审不通过。</w:t>
      </w:r>
    </w:p>
    <w:p>
      <w:pPr>
        <w:widowControl/>
        <w:spacing w:line="360" w:lineRule="auto"/>
        <w:ind w:firstLine="430"/>
        <w:jc w:val="left"/>
        <w:rPr>
          <w:rFonts w:ascii="宋体" w:hAnsi="宋体" w:cs="宋体"/>
          <w:color w:val="auto"/>
          <w:szCs w:val="21"/>
        </w:rPr>
      </w:pPr>
      <w:r>
        <w:rPr>
          <w:rFonts w:hint="eastAsia" w:ascii="宋体" w:hAnsi="宋体" w:cs="宋体"/>
          <w:color w:val="auto"/>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color w:val="auto"/>
          <w:szCs w:val="21"/>
        </w:rPr>
      </w:pPr>
      <w:r>
        <w:rPr>
          <w:rFonts w:hint="eastAsia" w:ascii="宋体" w:hAnsi="宋体"/>
          <w:b/>
          <w:color w:val="auto"/>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color w:val="auto"/>
          <w:szCs w:val="21"/>
        </w:rPr>
      </w:pPr>
      <w:r>
        <w:rPr>
          <w:rFonts w:hint="eastAsia" w:ascii="宋体" w:hAnsi="宋体" w:cs="宋体"/>
          <w:color w:val="auto"/>
          <w:szCs w:val="21"/>
        </w:rPr>
        <w:t>25.7.1</w:t>
      </w:r>
      <w:r>
        <w:rPr>
          <w:rFonts w:hint="eastAsia" w:ascii="宋体" w:hAnsi="宋体" w:cs="宋体"/>
          <w:b/>
          <w:color w:val="auto"/>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s="宋体"/>
          <w:color w:val="auto"/>
          <w:szCs w:val="21"/>
        </w:rPr>
        <w:t>25.7.2</w:t>
      </w:r>
      <w:r>
        <w:rPr>
          <w:rFonts w:hint="eastAsia" w:ascii="宋体" w:hAnsi="宋体" w:cs="宋体"/>
          <w:b/>
          <w:color w:val="auto"/>
          <w:szCs w:val="21"/>
        </w:rPr>
        <w:t>谈判响应人根据谈判小组要求</w:t>
      </w:r>
      <w:r>
        <w:rPr>
          <w:rFonts w:hint="eastAsia" w:ascii="宋体" w:hAnsi="宋体" w:cs="宋体"/>
          <w:b/>
          <w:color w:val="auto"/>
          <w:szCs w:val="21"/>
          <w:highlight w:val="none"/>
        </w:rPr>
        <w:t>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8</w:t>
      </w:r>
      <w:r>
        <w:rPr>
          <w:rFonts w:hint="eastAsia" w:ascii="宋体" w:hAnsi="宋体" w:cs="宋体"/>
          <w:color w:val="auto"/>
          <w:szCs w:val="21"/>
        </w:rPr>
        <w:t>、失信核查</w:t>
      </w:r>
    </w:p>
    <w:p>
      <w:pPr>
        <w:widowControl/>
        <w:spacing w:line="500" w:lineRule="exact"/>
        <w:ind w:firstLine="420"/>
        <w:jc w:val="left"/>
        <w:rPr>
          <w:rStyle w:val="30"/>
          <w:color w:val="auto"/>
          <w:szCs w:val="21"/>
        </w:rPr>
      </w:pPr>
      <w:r>
        <w:rPr>
          <w:rFonts w:hint="eastAsia" w:ascii="宋体" w:hAnsi="宋体"/>
          <w:color w:val="auto"/>
          <w:szCs w:val="21"/>
        </w:rPr>
        <w:t>谈判小组查询排序前三名的谈判响应人信用记录，谈判响应人存在不良信用记录的，谈判小组</w:t>
      </w:r>
      <w:r>
        <w:rPr>
          <w:color w:val="auto"/>
        </w:rPr>
        <w:fldChar w:fldCharType="begin"/>
      </w:r>
      <w:r>
        <w:rPr>
          <w:color w:val="auto"/>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color w:val="auto"/>
        </w:rPr>
        <w:fldChar w:fldCharType="separate"/>
      </w:r>
      <w:r>
        <w:rPr>
          <w:rStyle w:val="30"/>
          <w:rFonts w:hint="eastAsia"/>
          <w:color w:val="auto"/>
          <w:szCs w:val="21"/>
          <w:u w:val="none"/>
        </w:rPr>
        <w:t>不得将其推荐为成交候选人，依序递补，并再次对递补的谈判响应人进行核查。</w:t>
      </w:r>
      <w:r>
        <w:rPr>
          <w:rStyle w:val="30"/>
          <w:rFonts w:hint="eastAsia"/>
          <w:color w:val="auto"/>
          <w:szCs w:val="21"/>
          <w:u w:val="none"/>
        </w:rPr>
        <w:fldChar w:fldCharType="end"/>
      </w:r>
    </w:p>
    <w:p>
      <w:pPr>
        <w:widowControl/>
        <w:spacing w:line="500" w:lineRule="exact"/>
        <w:ind w:firstLine="420"/>
        <w:jc w:val="left"/>
        <w:rPr>
          <w:rFonts w:ascii="宋体" w:hAnsi="宋体"/>
          <w:color w:val="auto"/>
          <w:szCs w:val="21"/>
        </w:rPr>
      </w:pPr>
      <w:r>
        <w:rPr>
          <w:rFonts w:ascii="宋体" w:hAnsi="宋体"/>
          <w:color w:val="auto"/>
          <w:szCs w:val="21"/>
        </w:rPr>
        <w:t>25.</w:t>
      </w:r>
      <w:r>
        <w:rPr>
          <w:rFonts w:hint="eastAsia" w:ascii="宋体" w:hAnsi="宋体"/>
          <w:color w:val="auto"/>
          <w:szCs w:val="21"/>
          <w:lang w:val="en-US" w:eastAsia="zh-CN"/>
        </w:rPr>
        <w:t>8</w:t>
      </w:r>
      <w:r>
        <w:rPr>
          <w:rFonts w:ascii="宋体" w:hAnsi="宋体"/>
          <w:color w:val="auto"/>
          <w:szCs w:val="21"/>
        </w:rPr>
        <w:t>.1</w:t>
      </w:r>
      <w:r>
        <w:rPr>
          <w:rFonts w:hint="eastAsia" w:ascii="宋体" w:hAnsi="宋体"/>
          <w:color w:val="auto"/>
          <w:szCs w:val="21"/>
        </w:rPr>
        <w:t>不良信用记录是指：（1）供应商被人民法院列入失信被执行人；（2）供应商或其法定代表人或执行事务合伙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lang w:val="en-US" w:eastAsia="zh-CN"/>
        </w:rPr>
        <w:t>8</w:t>
      </w:r>
      <w:r>
        <w:rPr>
          <w:rFonts w:ascii="宋体" w:hAnsi="宋体"/>
          <w:color w:val="auto"/>
          <w:szCs w:val="21"/>
        </w:rPr>
        <w:t>.2</w:t>
      </w:r>
      <w:r>
        <w:rPr>
          <w:rFonts w:hint="eastAsia" w:ascii="宋体" w:hAnsi="宋体"/>
          <w:color w:val="auto"/>
          <w:szCs w:val="21"/>
        </w:rPr>
        <w:t>信用信息查询渠道：中国政府采购网（www.ccgp.gov.cn）、“信用中国”网站（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ascii="宋体" w:hAnsi="宋体"/>
          <w:color w:val="auto"/>
          <w:szCs w:val="21"/>
        </w:rPr>
        <w:t>）。</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r>
        <w:rPr>
          <w:rFonts w:hint="eastAsia" w:ascii="宋体" w:hAnsi="宋体" w:cs="宋体"/>
          <w:color w:val="auto"/>
          <w:szCs w:val="21"/>
        </w:rPr>
        <w:t>。</w:t>
      </w:r>
    </w:p>
    <w:p>
      <w:pPr>
        <w:widowControl/>
        <w:spacing w:line="500" w:lineRule="exact"/>
        <w:jc w:val="left"/>
        <w:rPr>
          <w:rFonts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26、</w:t>
      </w:r>
      <w:r>
        <w:rPr>
          <w:rFonts w:hint="eastAsia" w:ascii="宋体" w:hAnsi="宋体" w:cs="宋体"/>
          <w:b/>
          <w:color w:val="auto"/>
          <w:szCs w:val="21"/>
        </w:rPr>
        <w:t>谈判评审</w:t>
      </w:r>
      <w:r>
        <w:rPr>
          <w:rFonts w:hint="eastAsia" w:ascii="宋体" w:hAnsi="宋体" w:cs="宋体"/>
          <w:b/>
          <w:bCs/>
          <w:color w:val="auto"/>
          <w:szCs w:val="21"/>
        </w:rPr>
        <w:t>异常情况处理</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26.1在竞争性谈判采购中，出现下列情况之一的，应予废标，采购单位重新组织采购：</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rPr>
        <w:tab/>
      </w:r>
      <w:r>
        <w:rPr>
          <w:rFonts w:hint="eastAsia" w:ascii="宋体" w:hAnsi="宋体" w:cs="宋体"/>
          <w:color w:val="auto"/>
          <w:szCs w:val="21"/>
        </w:rPr>
        <w:t>出现影响采购公正的违法、违规行为的；</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color w:val="auto"/>
          <w:szCs w:val="21"/>
        </w:rPr>
        <w:tab/>
      </w:r>
      <w:r>
        <w:rPr>
          <w:rFonts w:hint="eastAsia" w:ascii="宋体" w:hAnsi="宋体" w:cs="宋体"/>
          <w:color w:val="auto"/>
          <w:szCs w:val="21"/>
        </w:rPr>
        <w:t>谈判响应人的总报价均超过了谈判最高限价，采购人不能支付的；</w:t>
      </w:r>
    </w:p>
    <w:p>
      <w:pPr>
        <w:widowControl/>
        <w:spacing w:line="360" w:lineRule="auto"/>
        <w:ind w:firstLine="42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因重大变故，采购任务取消的。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27、谈判过程的保密性</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25" w:name="_Toc15032"/>
      <w:bookmarkStart w:id="26" w:name="_Toc417655921"/>
      <w:bookmarkStart w:id="27" w:name="_Toc418517858"/>
    </w:p>
    <w:p>
      <w:pPr>
        <w:widowControl/>
        <w:spacing w:line="360" w:lineRule="auto"/>
        <w:jc w:val="left"/>
        <w:rPr>
          <w:rFonts w:ascii="宋体" w:hAnsi="宋体" w:cs="宋体"/>
          <w:color w:val="auto"/>
          <w:szCs w:val="21"/>
        </w:rPr>
      </w:pPr>
      <w:r>
        <w:rPr>
          <w:rFonts w:hint="eastAsia" w:ascii="宋体" w:hAnsi="宋体" w:cs="宋体"/>
          <w:color w:val="auto"/>
          <w:szCs w:val="21"/>
        </w:rPr>
        <w:t xml:space="preserve">    27.4、服务费</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27.4.1、成交人应在收到缴费通知后三日内按竞争性谈判文件要求缴纳服务费</w:t>
      </w:r>
      <w:r>
        <w:rPr>
          <w:rFonts w:hint="eastAsia" w:ascii="宋体" w:hAnsi="宋体"/>
          <w:color w:val="auto"/>
          <w:szCs w:val="21"/>
        </w:rPr>
        <w:t>，完成缴费后请</w:t>
      </w:r>
      <w:r>
        <w:rPr>
          <w:rFonts w:ascii="宋体" w:hAnsi="宋体"/>
          <w:color w:val="auto"/>
          <w:szCs w:val="21"/>
        </w:rPr>
        <w:t>在</w:t>
      </w:r>
      <w:r>
        <w:rPr>
          <w:rFonts w:hint="eastAsia" w:ascii="宋体" w:hAnsi="宋体"/>
          <w:color w:val="auto"/>
          <w:szCs w:val="21"/>
        </w:rPr>
        <w:t>7</w:t>
      </w:r>
      <w:r>
        <w:rPr>
          <w:rFonts w:ascii="宋体" w:hAnsi="宋体"/>
          <w:color w:val="auto"/>
          <w:szCs w:val="21"/>
        </w:rPr>
        <w:t>个工作日内前来开具增值税发票，逾期按普票开具，不再开具专票。</w:t>
      </w:r>
    </w:p>
    <w:p>
      <w:pPr>
        <w:widowControl/>
        <w:spacing w:line="360" w:lineRule="auto"/>
        <w:ind w:firstLine="405"/>
        <w:jc w:val="left"/>
        <w:rPr>
          <w:rFonts w:ascii="宋体" w:hAnsi="宋体" w:cs="宋体"/>
          <w:color w:val="auto"/>
          <w:szCs w:val="21"/>
        </w:rPr>
      </w:pPr>
      <w:r>
        <w:rPr>
          <w:rFonts w:hint="eastAsia" w:ascii="宋体" w:hAnsi="宋体" w:cs="宋体"/>
          <w:color w:val="auto"/>
          <w:szCs w:val="21"/>
        </w:rPr>
        <w:t>27.4.2、服务费按差额定率累进法计算。以成交价为计算基数，按下表约定的</w:t>
      </w:r>
      <w:r>
        <w:rPr>
          <w:rFonts w:hint="eastAsia" w:ascii="宋体" w:hAnsi="宋体" w:cs="宋体"/>
          <w:color w:val="auto"/>
          <w:szCs w:val="21"/>
          <w:u w:val="single"/>
        </w:rPr>
        <w:t>服务</w:t>
      </w:r>
      <w:r>
        <w:rPr>
          <w:rFonts w:hint="eastAsia" w:ascii="宋体" w:hAnsi="宋体" w:cs="宋体"/>
          <w:color w:val="auto"/>
          <w:szCs w:val="21"/>
        </w:rPr>
        <w:t>标准的80%收取。</w:t>
      </w:r>
    </w:p>
    <w:tbl>
      <w:tblPr>
        <w:tblStyle w:val="2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rPr>
            </w:pPr>
            <w:r>
              <w:rPr>
                <w:rFonts w:ascii="宋体" w:hAnsi="宋体" w:cs="宋体"/>
                <w:color w:val="auto"/>
                <w:szCs w:val="21"/>
              </w:rPr>
              <w:pict>
                <v:line id="Line 2" o:spid="_x0000_s1027" o:spt="20" style="position:absolute;left:0pt;margin-left:-5.35pt;margin-top:1.05pt;height:38.85pt;width:143.95pt;z-index:251659264;mso-width-relative:page;mso-height-relative:page;" coordsize="21600,21600">
                  <v:path arrowok="t"/>
                  <v:fill focussize="0,0"/>
                  <v:stroke/>
                  <v:imagedata o:title=""/>
                  <o:lock v:ext="edit"/>
                </v:line>
              </w:pict>
            </w:r>
            <w:r>
              <w:rPr>
                <w:rFonts w:hint="eastAsia" w:ascii="宋体" w:hAnsi="宋体" w:cs="宋体"/>
                <w:color w:val="auto"/>
                <w:szCs w:val="21"/>
              </w:rPr>
              <w:t xml:space="preserve">          费率</w:t>
            </w:r>
          </w:p>
          <w:p>
            <w:pPr>
              <w:rPr>
                <w:rFonts w:ascii="宋体" w:hAnsi="宋体" w:cs="宋体"/>
                <w:color w:val="auto"/>
                <w:szCs w:val="21"/>
              </w:rPr>
            </w:pPr>
            <w:r>
              <w:rPr>
                <w:rFonts w:hint="eastAsia" w:ascii="宋体" w:hAnsi="宋体" w:cs="宋体"/>
                <w:color w:val="auto"/>
                <w:szCs w:val="21"/>
              </w:rPr>
              <w:t>成交价</w:t>
            </w:r>
          </w:p>
        </w:tc>
        <w:tc>
          <w:tcPr>
            <w:tcW w:w="1755" w:type="dxa"/>
            <w:vAlign w:val="center"/>
          </w:tcPr>
          <w:p>
            <w:pPr>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2" w:type="dxa"/>
            <w:vAlign w:val="center"/>
          </w:tcPr>
          <w:p>
            <w:pPr>
              <w:jc w:val="center"/>
              <w:rPr>
                <w:rFonts w:ascii="宋体" w:hAnsi="宋体" w:cs="宋体"/>
                <w:color w:val="auto"/>
                <w:szCs w:val="21"/>
              </w:rPr>
            </w:pPr>
            <w:r>
              <w:rPr>
                <w:rFonts w:hint="eastAsia" w:ascii="宋体" w:hAnsi="宋体" w:cs="宋体"/>
                <w:color w:val="auto"/>
                <w:szCs w:val="21"/>
              </w:rPr>
              <w:t>服务招标</w:t>
            </w:r>
          </w:p>
        </w:tc>
        <w:tc>
          <w:tcPr>
            <w:tcW w:w="2186" w:type="dxa"/>
            <w:vAlign w:val="center"/>
          </w:tcPr>
          <w:p>
            <w:pPr>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rPr>
            </w:pPr>
            <w:r>
              <w:rPr>
                <w:rFonts w:hint="eastAsia" w:ascii="宋体" w:hAnsi="宋体" w:cs="宋体"/>
                <w:color w:val="auto"/>
                <w:szCs w:val="21"/>
              </w:rPr>
              <w:t>100万元以下</w:t>
            </w:r>
          </w:p>
        </w:tc>
        <w:tc>
          <w:tcPr>
            <w:tcW w:w="1755" w:type="dxa"/>
          </w:tcPr>
          <w:p>
            <w:pPr>
              <w:jc w:val="center"/>
              <w:rPr>
                <w:rFonts w:ascii="宋体" w:hAnsi="宋体" w:cs="宋体"/>
                <w:color w:val="auto"/>
                <w:szCs w:val="21"/>
              </w:rPr>
            </w:pPr>
            <w:r>
              <w:rPr>
                <w:rFonts w:hint="eastAsia" w:ascii="宋体" w:hAnsi="宋体" w:cs="宋体"/>
                <w:color w:val="auto"/>
                <w:kern w:val="0"/>
                <w:szCs w:val="21"/>
              </w:rPr>
              <w:t>1.5%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100～500万元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1.1%</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0.8%</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500～1000万元</w:t>
            </w:r>
          </w:p>
        </w:tc>
        <w:tc>
          <w:tcPr>
            <w:tcW w:w="1755" w:type="dxa"/>
          </w:tcPr>
          <w:p>
            <w:pPr>
              <w:jc w:val="center"/>
              <w:rPr>
                <w:rFonts w:ascii="宋体" w:hAnsi="宋体" w:cs="宋体"/>
                <w:color w:val="auto"/>
                <w:szCs w:val="21"/>
              </w:rPr>
            </w:pPr>
            <w:r>
              <w:rPr>
                <w:rFonts w:hint="eastAsia" w:ascii="宋体" w:hAnsi="宋体" w:cs="宋体"/>
                <w:color w:val="auto"/>
                <w:kern w:val="0"/>
                <w:szCs w:val="21"/>
              </w:rPr>
              <w:t>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0.45%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1000～5000万元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5000万元～1亿元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0.1%</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1～5亿元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szCs w:val="21"/>
              </w:rPr>
              <w:t>0.05%</w:t>
            </w:r>
          </w:p>
        </w:tc>
        <w:tc>
          <w:tcPr>
            <w:tcW w:w="1682" w:type="dxa"/>
          </w:tcPr>
          <w:p>
            <w:pPr>
              <w:jc w:val="center"/>
              <w:rPr>
                <w:rFonts w:ascii="宋体" w:hAnsi="宋体" w:cs="宋体"/>
                <w:color w:val="auto"/>
                <w:szCs w:val="21"/>
              </w:rPr>
            </w:pPr>
            <w:r>
              <w:rPr>
                <w:rFonts w:hint="eastAsia" w:ascii="宋体" w:hAnsi="宋体" w:cs="宋体"/>
                <w:color w:val="auto"/>
                <w:szCs w:val="21"/>
              </w:rPr>
              <w:t>0.05%</w:t>
            </w:r>
          </w:p>
        </w:tc>
        <w:tc>
          <w:tcPr>
            <w:tcW w:w="2186" w:type="dxa"/>
          </w:tcPr>
          <w:p>
            <w:pPr>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5～10亿元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c>
          <w:tcPr>
            <w:tcW w:w="1682" w:type="dxa"/>
          </w:tcPr>
          <w:p>
            <w:pPr>
              <w:jc w:val="center"/>
              <w:rPr>
                <w:rFonts w:ascii="宋体" w:hAnsi="宋体" w:cs="宋体"/>
                <w:color w:val="auto"/>
                <w:szCs w:val="21"/>
              </w:rPr>
            </w:pPr>
            <w:r>
              <w:rPr>
                <w:rFonts w:hint="eastAsia" w:ascii="宋体" w:hAnsi="宋体" w:cs="宋体"/>
                <w:color w:val="auto"/>
                <w:szCs w:val="21"/>
              </w:rPr>
              <w:t>0.035%</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10～50亿元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0.008%</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50～100亿元</w:t>
            </w:r>
          </w:p>
        </w:tc>
        <w:tc>
          <w:tcPr>
            <w:tcW w:w="1755" w:type="dxa"/>
          </w:tcPr>
          <w:p>
            <w:pPr>
              <w:jc w:val="center"/>
              <w:rPr>
                <w:rFonts w:ascii="宋体" w:hAnsi="宋体" w:cs="宋体"/>
                <w:color w:val="auto"/>
                <w:szCs w:val="21"/>
              </w:rPr>
            </w:pPr>
            <w:r>
              <w:rPr>
                <w:rFonts w:hint="eastAsia" w:ascii="宋体" w:hAnsi="宋体" w:cs="宋体"/>
                <w:color w:val="auto"/>
                <w:szCs w:val="21"/>
              </w:rPr>
              <w:t>0.006%</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0.006%</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rPr>
            </w:pPr>
            <w:r>
              <w:rPr>
                <w:rFonts w:hint="eastAsia" w:ascii="宋体" w:hAnsi="宋体" w:cs="宋体"/>
                <w:color w:val="auto"/>
                <w:szCs w:val="21"/>
              </w:rPr>
              <w:t>100亿以上</w:t>
            </w:r>
          </w:p>
        </w:tc>
        <w:tc>
          <w:tcPr>
            <w:tcW w:w="1755" w:type="dxa"/>
          </w:tcPr>
          <w:p>
            <w:pPr>
              <w:jc w:val="center"/>
              <w:rPr>
                <w:rFonts w:ascii="宋体" w:hAnsi="宋体" w:cs="宋体"/>
                <w:color w:val="auto"/>
                <w:szCs w:val="21"/>
              </w:rPr>
            </w:pPr>
            <w:r>
              <w:rPr>
                <w:rFonts w:hint="eastAsia" w:ascii="宋体" w:hAnsi="宋体" w:cs="宋体"/>
                <w:color w:val="auto"/>
                <w:szCs w:val="21"/>
              </w:rPr>
              <w:t>0.004%</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0.004%</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0.004%</w:t>
            </w:r>
          </w:p>
        </w:tc>
      </w:tr>
    </w:tbl>
    <w:p>
      <w:pPr>
        <w:widowControl/>
        <w:spacing w:line="500" w:lineRule="exact"/>
        <w:ind w:firstLine="421"/>
        <w:jc w:val="left"/>
        <w:rPr>
          <w:rFonts w:hint="eastAsia" w:ascii="宋体" w:hAnsi="宋体" w:cs="宋体"/>
          <w:b/>
          <w:color w:val="auto"/>
        </w:rPr>
      </w:pPr>
      <w:r>
        <w:rPr>
          <w:rFonts w:hint="eastAsia" w:ascii="宋体" w:hAnsi="宋体" w:cs="宋体"/>
          <w:b/>
          <w:color w:val="auto"/>
        </w:rPr>
        <w:t xml:space="preserve">  </w:t>
      </w:r>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widowControl/>
        <w:spacing w:line="500" w:lineRule="exact"/>
        <w:ind w:firstLine="420" w:firstLineChars="200"/>
        <w:jc w:val="left"/>
        <w:rPr>
          <w:rFonts w:ascii="宋体" w:hAnsi="宋体" w:cs="宋体"/>
          <w:color w:val="auto"/>
          <w:szCs w:val="21"/>
        </w:rPr>
      </w:pPr>
      <w:r>
        <w:rPr>
          <w:rFonts w:hint="eastAsia" w:ascii="宋体" w:hAnsi="宋体" w:cs="宋体"/>
          <w:color w:val="auto"/>
          <w:szCs w:val="21"/>
        </w:rPr>
        <w:t>27.5、成交通知书</w:t>
      </w:r>
      <w:bookmarkEnd w:id="25"/>
      <w:bookmarkEnd w:id="26"/>
      <w:bookmarkEnd w:id="27"/>
    </w:p>
    <w:p>
      <w:pPr>
        <w:widowControl/>
        <w:spacing w:line="500" w:lineRule="exact"/>
        <w:ind w:firstLine="420"/>
        <w:jc w:val="left"/>
        <w:rPr>
          <w:rFonts w:ascii="宋体" w:hAnsi="宋体" w:cs="宋体"/>
          <w:color w:val="auto"/>
          <w:szCs w:val="21"/>
        </w:rPr>
      </w:pPr>
      <w:r>
        <w:rPr>
          <w:rFonts w:hint="eastAsia" w:ascii="宋体" w:hAnsi="宋体" w:cs="宋体"/>
          <w:color w:val="auto"/>
          <w:szCs w:val="21"/>
          <w:highlight w:val="none"/>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r>
        <w:rPr>
          <w:rFonts w:hint="eastAsia" w:ascii="宋体" w:hAnsi="宋体"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color w:val="auto"/>
          <w:szCs w:val="21"/>
        </w:rPr>
      </w:pPr>
      <w:bookmarkStart w:id="28" w:name="_Toc418517857"/>
      <w:bookmarkStart w:id="29" w:name="_Toc2342"/>
      <w:bookmarkStart w:id="30" w:name="_Toc417655920"/>
      <w:r>
        <w:rPr>
          <w:rFonts w:hint="eastAsia" w:ascii="宋体" w:hAnsi="宋体" w:cs="宋体"/>
          <w:b/>
          <w:bCs/>
          <w:color w:val="auto"/>
          <w:szCs w:val="20"/>
        </w:rPr>
        <w:t xml:space="preserve">   </w:t>
      </w:r>
      <w:r>
        <w:rPr>
          <w:rFonts w:hint="eastAsia" w:ascii="宋体" w:hAnsi="宋体" w:cs="宋体"/>
          <w:color w:val="auto"/>
          <w:szCs w:val="21"/>
        </w:rPr>
        <w:t xml:space="preserve"> 27.</w:t>
      </w:r>
      <w:bookmarkEnd w:id="28"/>
      <w:bookmarkEnd w:id="29"/>
      <w:bookmarkEnd w:id="30"/>
      <w:r>
        <w:rPr>
          <w:rFonts w:hint="eastAsia" w:ascii="宋体" w:hAnsi="宋体" w:cs="宋体"/>
          <w:color w:val="auto"/>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color w:val="auto"/>
          <w:szCs w:val="21"/>
        </w:rPr>
      </w:pPr>
      <w:bookmarkStart w:id="31" w:name="_Toc23509"/>
      <w:r>
        <w:rPr>
          <w:rFonts w:hint="eastAsia" w:ascii="宋体" w:hAnsi="宋体" w:cs="宋体"/>
          <w:b/>
          <w:bCs/>
          <w:color w:val="auto"/>
          <w:szCs w:val="21"/>
        </w:rPr>
        <w:t xml:space="preserve">    </w:t>
      </w:r>
      <w:bookmarkStart w:id="32" w:name="_Toc54939197"/>
      <w:r>
        <w:rPr>
          <w:rFonts w:hint="eastAsia" w:ascii="宋体" w:hAnsi="宋体" w:cs="宋体"/>
          <w:b/>
          <w:bCs/>
          <w:color w:val="auto"/>
          <w:szCs w:val="21"/>
        </w:rPr>
        <w:t>七、合同授予</w:t>
      </w:r>
      <w:bookmarkEnd w:id="31"/>
      <w:bookmarkEnd w:id="32"/>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w:t>
      </w:r>
      <w:bookmarkStart w:id="33" w:name="_Toc418517860"/>
      <w:bookmarkStart w:id="34" w:name="_Toc21358"/>
      <w:bookmarkStart w:id="35" w:name="_Toc417655923"/>
      <w:r>
        <w:rPr>
          <w:rFonts w:hint="eastAsia" w:ascii="宋体" w:hAnsi="宋体" w:cs="宋体"/>
          <w:color w:val="auto"/>
          <w:szCs w:val="21"/>
        </w:rPr>
        <w:t>签订合同</w:t>
      </w:r>
      <w:bookmarkEnd w:id="33"/>
      <w:bookmarkEnd w:id="34"/>
      <w:bookmarkEnd w:id="35"/>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28.1、成交人的成交价即为合同价款。</w:t>
      </w:r>
    </w:p>
    <w:p>
      <w:pPr>
        <w:widowControl/>
        <w:spacing w:line="500" w:lineRule="exact"/>
        <w:ind w:firstLine="420"/>
        <w:jc w:val="left"/>
        <w:rPr>
          <w:rFonts w:hint="eastAsia" w:ascii="宋体" w:hAnsi="宋体" w:cs="宋体"/>
          <w:color w:val="auto"/>
          <w:szCs w:val="21"/>
        </w:rPr>
      </w:pPr>
      <w:r>
        <w:rPr>
          <w:rFonts w:hint="eastAsia" w:ascii="宋体" w:hAnsi="宋体" w:cs="宋体"/>
          <w:color w:val="auto"/>
          <w:szCs w:val="21"/>
        </w:rPr>
        <w:t>28.2、成交人在收到成交通知书起</w:t>
      </w:r>
      <w:r>
        <w:rPr>
          <w:rFonts w:ascii="宋体" w:hAnsi="宋体" w:cs="宋体"/>
          <w:color w:val="auto"/>
          <w:szCs w:val="21"/>
        </w:rPr>
        <w:t>30</w:t>
      </w:r>
      <w:r>
        <w:rPr>
          <w:rFonts w:hint="eastAsia" w:ascii="宋体" w:hAnsi="宋体" w:cs="宋体"/>
          <w:color w:val="auto"/>
          <w:szCs w:val="21"/>
        </w:rPr>
        <w:t xml:space="preserve">日内，与采购人签订合同。    </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color w:val="auto"/>
          <w:szCs w:val="21"/>
        </w:rPr>
      </w:pPr>
      <w:r>
        <w:rPr>
          <w:rFonts w:hint="eastAsia" w:ascii="宋体" w:hAnsi="宋体" w:cs="宋体"/>
          <w:b/>
          <w:bCs/>
          <w:color w:val="auto"/>
          <w:szCs w:val="21"/>
        </w:rPr>
        <w:t xml:space="preserve">    29、履约保证金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color w:val="auto"/>
          <w:szCs w:val="21"/>
        </w:rPr>
      </w:pPr>
      <w:r>
        <w:rPr>
          <w:rFonts w:hint="eastAsia" w:ascii="宋体" w:hAnsi="宋体" w:cs="宋体"/>
          <w:color w:val="auto"/>
          <w:szCs w:val="21"/>
        </w:rPr>
        <w:t xml:space="preserve">   29.2、若成交人不能按谈判响应人须知前附表执行，采购人可在无须征得成交人同意的情况下，不与其签订合同。给采购单位造成的损失</w:t>
      </w:r>
      <w:r>
        <w:rPr>
          <w:rFonts w:hint="eastAsia" w:ascii="宋体" w:hAnsi="宋体" w:cs="宋体"/>
          <w:color w:val="auto"/>
          <w:szCs w:val="21"/>
          <w:lang w:val="en-US" w:eastAsia="zh-CN"/>
        </w:rPr>
        <w:t>的</w:t>
      </w:r>
      <w:r>
        <w:rPr>
          <w:rFonts w:hint="eastAsia" w:ascii="宋体" w:hAnsi="宋体" w:cs="宋体"/>
          <w:color w:val="auto"/>
          <w:szCs w:val="21"/>
        </w:rPr>
        <w:t>，还应当对超过部分予以赔偿。</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29.3、履约保证金按合同条款</w:t>
      </w:r>
      <w:r>
        <w:rPr>
          <w:rFonts w:hint="eastAsia" w:ascii="宋体" w:hAnsi="宋体" w:cs="宋体"/>
          <w:color w:val="auto"/>
          <w:kern w:val="0"/>
          <w:szCs w:val="21"/>
        </w:rPr>
        <w:t>约定</w:t>
      </w:r>
      <w:r>
        <w:rPr>
          <w:rFonts w:hint="eastAsia" w:ascii="宋体" w:hAnsi="宋体" w:cs="宋体"/>
          <w:color w:val="auto"/>
          <w:szCs w:val="21"/>
        </w:rPr>
        <w:t>退还。</w:t>
      </w:r>
    </w:p>
    <w:p>
      <w:pPr>
        <w:widowControl/>
        <w:spacing w:line="500" w:lineRule="exact"/>
        <w:ind w:firstLine="420"/>
        <w:jc w:val="left"/>
        <w:rPr>
          <w:rFonts w:ascii="宋体" w:hAnsi="宋体" w:cs="宋体"/>
          <w:b/>
          <w:bCs/>
          <w:color w:val="auto"/>
          <w:szCs w:val="21"/>
        </w:rPr>
      </w:pPr>
      <w:r>
        <w:rPr>
          <w:rFonts w:hint="eastAsia" w:ascii="宋体" w:hAnsi="宋体" w:cs="宋体"/>
          <w:b/>
          <w:bCs/>
          <w:color w:val="auto"/>
          <w:szCs w:val="21"/>
        </w:rPr>
        <w:t>30、未尽事宜</w:t>
      </w:r>
    </w:p>
    <w:p>
      <w:pPr>
        <w:widowControl/>
        <w:spacing w:line="500" w:lineRule="exact"/>
        <w:ind w:firstLine="420"/>
        <w:jc w:val="left"/>
        <w:rPr>
          <w:rFonts w:ascii="宋体" w:hAnsi="宋体" w:cs="宋体"/>
          <w:color w:val="auto"/>
          <w:szCs w:val="21"/>
        </w:rPr>
      </w:pPr>
      <w:r>
        <w:rPr>
          <w:rFonts w:hint="eastAsia" w:ascii="宋体" w:hAnsi="宋体" w:cs="宋体"/>
          <w:color w:val="auto"/>
          <w:szCs w:val="21"/>
        </w:rPr>
        <w:t>按《中华人民共和国政府采购法》、《中华人民共和国政府采购法实施条例》及其他有关法律法规规定执行。</w:t>
      </w:r>
    </w:p>
    <w:p>
      <w:pPr>
        <w:widowControl/>
        <w:jc w:val="left"/>
        <w:rPr>
          <w:rFonts w:ascii="宋体" w:hAnsi="宋体" w:cs="宋体"/>
          <w:color w:val="auto"/>
          <w:szCs w:val="21"/>
        </w:rPr>
      </w:pPr>
      <w:r>
        <w:rPr>
          <w:rFonts w:ascii="宋体" w:hAnsi="宋体" w:cs="宋体"/>
          <w:color w:val="auto"/>
          <w:szCs w:val="21"/>
        </w:rPr>
        <w:br w:type="page"/>
      </w:r>
    </w:p>
    <w:p>
      <w:pPr>
        <w:pStyle w:val="4"/>
        <w:rPr>
          <w:rFonts w:ascii="宋体" w:hAnsi="宋体" w:cs="宋体"/>
          <w:color w:val="auto"/>
        </w:rPr>
      </w:pPr>
      <w:bookmarkStart w:id="36" w:name="_Toc54939198"/>
      <w:bookmarkStart w:id="37" w:name="_Toc18076"/>
      <w:r>
        <w:rPr>
          <w:rFonts w:hint="eastAsia" w:ascii="宋体" w:hAnsi="宋体" w:cs="宋体"/>
          <w:color w:val="auto"/>
        </w:rPr>
        <w:t>第三章 服务需求及技术要求</w:t>
      </w:r>
      <w:bookmarkEnd w:id="36"/>
      <w:bookmarkEnd w:id="37"/>
    </w:p>
    <w:p>
      <w:pPr>
        <w:pStyle w:val="58"/>
        <w:spacing w:before="156" w:afterLines="0" w:line="360" w:lineRule="auto"/>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第一条 服务内容</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1、以2021年6月30日为资产清查的基准日，对学校固定资产情况进行全覆盖清查核实和清理，制订资产清查工作实施方案及相关资产盘点指引，对资产清查人员进行培训；核实资产清查结果的真实、准确及完整情况，对照资产卡片务必做到账账、账实相符。按照标准规定进行盘点，进行账实、账卡核对，填写固定资产盘点单，形成固定资产情况、固定资产损益清查、房物构筑物情况等明细及汇总表。盈亏原因查找，进行审计调整、账务调整；对于存在的问题要提出整改意见，协助学校资产清查领导小组撰写资产清查工作报告；</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2、对资产清查过程中的资产盘盈、盘亏损失进行经济鉴证，出具鉴证报告；</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3、对资产清查结果进行审计核实，出具资产清查专项审计报告；</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4、自本项目签订合同后3个月内完成。</w:t>
      </w:r>
    </w:p>
    <w:p>
      <w:pPr>
        <w:pStyle w:val="58"/>
        <w:spacing w:before="156" w:afterLines="0" w:line="360" w:lineRule="auto"/>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第二条 服务要求</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1、中标单位选派经验丰富的工作人员进驻现场，全程参与学校资产自查，对全校所有部门实物进行盘点核查，及时解决资产自查过程中发现的问题。</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2、制订资产清查工作实施方案和资产清查盘点指引，制作资产清查相关表格及汇总表格，对资产清查人员进行业务培训。</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3、对资产账务情况进行全面核实，对账账相符、账证相符、账物相符情况进行核实，对折旧金额进行核实，以此次清查结果对学校两个资产系统进行账账相符调整并提供指导。</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4、汇总整理资产清查情况及结果，撰写资产清查工作报告。</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5、完善资产信息，制作资产标签，对资产统一粘贴资产条形码。</w:t>
      </w:r>
    </w:p>
    <w:p>
      <w:pPr>
        <w:pStyle w:val="20"/>
        <w:spacing w:line="360" w:lineRule="auto"/>
        <w:ind w:firstLine="420" w:firstLineChars="200"/>
        <w:rPr>
          <w:rFonts w:hint="eastAsia" w:ascii="宋体" w:hAnsi="宋体" w:eastAsia="宋体" w:cs="宋体"/>
          <w:b w:val="0"/>
          <w:color w:val="auto"/>
          <w:kern w:val="2"/>
          <w:sz w:val="21"/>
          <w:szCs w:val="24"/>
          <w:lang w:val="en-US" w:eastAsia="zh-CN" w:bidi="ar-SA"/>
        </w:rPr>
      </w:pPr>
      <w:r>
        <w:rPr>
          <w:rFonts w:hint="eastAsia" w:ascii="宋体" w:hAnsi="宋体" w:eastAsia="宋体" w:cs="宋体"/>
          <w:b w:val="0"/>
          <w:color w:val="auto"/>
          <w:kern w:val="2"/>
          <w:sz w:val="21"/>
          <w:szCs w:val="24"/>
          <w:lang w:val="en-US" w:eastAsia="zh-CN" w:bidi="ar-SA"/>
        </w:rPr>
        <w:t>6、完善国有资产管理系统信息，并与财务系统核对一致，指导相关部门根据资产清查结果进行调整，做好资产清查后的后续服务。</w:t>
      </w:r>
    </w:p>
    <w:p>
      <w:pPr>
        <w:widowControl/>
        <w:jc w:val="left"/>
        <w:rPr>
          <w:rFonts w:ascii="宋体" w:hAnsi="宋体" w:cs="宋体"/>
          <w:color w:val="auto"/>
          <w:szCs w:val="21"/>
        </w:rPr>
      </w:pPr>
      <w:r>
        <w:rPr>
          <w:rFonts w:ascii="宋体" w:hAnsi="宋体" w:cs="宋体"/>
          <w:color w:val="auto"/>
          <w:szCs w:val="21"/>
        </w:rPr>
        <w:br w:type="page"/>
      </w:r>
    </w:p>
    <w:p>
      <w:pPr>
        <w:pStyle w:val="4"/>
        <w:rPr>
          <w:rFonts w:ascii="宋体" w:hAnsi="宋体" w:cs="宋体"/>
          <w:color w:val="auto"/>
        </w:rPr>
      </w:pPr>
      <w:bookmarkStart w:id="38" w:name="_Toc7241"/>
      <w:bookmarkStart w:id="39" w:name="_Toc54939199"/>
      <w:r>
        <w:rPr>
          <w:rFonts w:hint="eastAsia" w:ascii="宋体" w:hAnsi="宋体" w:cs="宋体"/>
          <w:color w:val="auto"/>
        </w:rPr>
        <w:t>第四章  合同主要条款</w:t>
      </w:r>
      <w:bookmarkEnd w:id="38"/>
      <w:bookmarkEnd w:id="39"/>
    </w:p>
    <w:p>
      <w:pPr>
        <w:tabs>
          <w:tab w:val="left" w:pos="3640"/>
        </w:tabs>
        <w:autoSpaceDE w:val="0"/>
        <w:autoSpaceDN w:val="0"/>
        <w:spacing w:line="360" w:lineRule="auto"/>
        <w:rPr>
          <w:rFonts w:ascii="宋体" w:hAnsi="宋体" w:cs="宋体"/>
          <w:color w:val="auto"/>
          <w:szCs w:val="21"/>
          <w:u w:val="single"/>
        </w:rPr>
      </w:pPr>
      <w:bookmarkStart w:id="40" w:name="_Toc26873"/>
      <w:r>
        <w:rPr>
          <w:rFonts w:hint="eastAsia" w:ascii="宋体" w:hAnsi="宋体" w:cs="宋体"/>
          <w:color w:val="auto"/>
          <w:szCs w:val="21"/>
        </w:rPr>
        <w:t>买方（采购人）：</w:t>
      </w:r>
      <w:r>
        <w:rPr>
          <w:rFonts w:hint="eastAsia" w:ascii="宋体" w:hAnsi="宋体" w:cs="宋体"/>
          <w:color w:val="auto"/>
          <w:szCs w:val="21"/>
          <w:u w:val="single"/>
        </w:rPr>
        <w:t xml:space="preserve">                           </w:t>
      </w:r>
    </w:p>
    <w:p>
      <w:pPr>
        <w:tabs>
          <w:tab w:val="left" w:pos="3640"/>
        </w:tabs>
        <w:autoSpaceDE w:val="0"/>
        <w:autoSpaceDN w:val="0"/>
        <w:spacing w:line="360" w:lineRule="auto"/>
        <w:rPr>
          <w:rFonts w:ascii="宋体" w:hAnsi="宋体" w:cs="宋体"/>
          <w:color w:val="auto"/>
          <w:szCs w:val="21"/>
          <w:u w:val="single"/>
        </w:rPr>
      </w:pPr>
      <w:r>
        <w:rPr>
          <w:rFonts w:hint="eastAsia" w:ascii="宋体" w:hAnsi="宋体" w:cs="宋体"/>
          <w:color w:val="auto"/>
          <w:szCs w:val="21"/>
        </w:rPr>
        <w:t>卖方（</w:t>
      </w:r>
      <w:r>
        <w:rPr>
          <w:rFonts w:hint="eastAsia" w:ascii="宋体" w:hAnsi="宋体" w:cs="宋体"/>
          <w:b/>
          <w:color w:val="auto"/>
          <w:szCs w:val="21"/>
        </w:rPr>
        <w:t>成交</w:t>
      </w:r>
      <w:r>
        <w:rPr>
          <w:rFonts w:hint="eastAsia" w:ascii="宋体" w:hAnsi="宋体" w:cs="宋体"/>
          <w:color w:val="auto"/>
          <w:szCs w:val="21"/>
        </w:rPr>
        <w:t>人）：</w:t>
      </w:r>
      <w:r>
        <w:rPr>
          <w:rFonts w:hint="eastAsia" w:ascii="宋体" w:hAnsi="宋体" w:cs="宋体"/>
          <w:color w:val="auto"/>
          <w:szCs w:val="21"/>
          <w:u w:val="single"/>
        </w:rPr>
        <w:t xml:space="preserve">                           </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根据《中华人民共和国民法典》及</w:t>
      </w:r>
      <w:r>
        <w:rPr>
          <w:rFonts w:hint="eastAsia" w:ascii="宋体" w:hAnsi="宋体" w:cs="宋体"/>
          <w:color w:val="auto"/>
          <w:szCs w:val="21"/>
          <w:u w:val="single"/>
        </w:rPr>
        <w:t xml:space="preserve">                                （项目名称）</w:t>
      </w:r>
      <w:r>
        <w:rPr>
          <w:rFonts w:hint="eastAsia" w:ascii="宋体" w:hAnsi="宋体" w:cs="宋体"/>
          <w:color w:val="auto"/>
          <w:szCs w:val="21"/>
        </w:rPr>
        <w:t>的谈判文件、响应文件等，买、卖双方经协商一致，签订如下合同条款，并共同遵守。</w:t>
      </w:r>
    </w:p>
    <w:p>
      <w:pPr>
        <w:numPr>
          <w:ilvl w:val="0"/>
          <w:numId w:val="3"/>
        </w:numPr>
        <w:tabs>
          <w:tab w:val="left" w:pos="3640"/>
        </w:tabs>
        <w:autoSpaceDE w:val="0"/>
        <w:autoSpaceDN w:val="0"/>
        <w:spacing w:line="360" w:lineRule="auto"/>
        <w:ind w:firstLine="422" w:firstLineChars="200"/>
        <w:rPr>
          <w:rFonts w:ascii="宋体" w:hAnsi="宋体" w:cs="宋体"/>
          <w:b/>
          <w:color w:val="auto"/>
          <w:spacing w:val="8"/>
          <w:szCs w:val="21"/>
        </w:rPr>
      </w:pPr>
      <w:r>
        <w:rPr>
          <w:rFonts w:hint="eastAsia" w:ascii="宋体" w:hAnsi="宋体" w:cs="宋体"/>
          <w:b/>
          <w:color w:val="auto"/>
          <w:szCs w:val="21"/>
        </w:rPr>
        <w:t>服务内容</w:t>
      </w:r>
    </w:p>
    <w:p>
      <w:pPr>
        <w:tabs>
          <w:tab w:val="left" w:pos="3640"/>
        </w:tabs>
        <w:autoSpaceDE w:val="0"/>
        <w:autoSpaceDN w:val="0"/>
        <w:spacing w:line="360" w:lineRule="auto"/>
        <w:ind w:left="422"/>
        <w:rPr>
          <w:rFonts w:ascii="宋体" w:hAnsi="宋体" w:cs="宋体"/>
          <w:b/>
          <w:color w:val="auto"/>
          <w:spacing w:val="8"/>
          <w:szCs w:val="21"/>
        </w:rPr>
      </w:pPr>
      <w:r>
        <w:rPr>
          <w:rFonts w:hint="eastAsia" w:ascii="宋体" w:hAnsi="宋体" w:cs="宋体"/>
          <w:b/>
          <w:color w:val="auto"/>
          <w:szCs w:val="21"/>
        </w:rPr>
        <w:t>服务内容：</w:t>
      </w:r>
    </w:p>
    <w:p>
      <w:pPr>
        <w:tabs>
          <w:tab w:val="left" w:pos="3640"/>
        </w:tabs>
        <w:autoSpaceDE w:val="0"/>
        <w:autoSpaceDN w:val="0"/>
        <w:spacing w:line="360" w:lineRule="auto"/>
        <w:ind w:left="422"/>
        <w:rPr>
          <w:rFonts w:ascii="宋体" w:hAnsi="宋体" w:cs="宋体"/>
          <w:b/>
          <w:color w:val="auto"/>
          <w:spacing w:val="8"/>
          <w:szCs w:val="21"/>
        </w:rPr>
      </w:pPr>
      <w:r>
        <w:rPr>
          <w:rFonts w:hint="eastAsia" w:ascii="宋体" w:hAnsi="宋体" w:cs="宋体"/>
          <w:b/>
          <w:color w:val="auto"/>
          <w:szCs w:val="21"/>
        </w:rPr>
        <w:t>合同金额：</w:t>
      </w:r>
    </w:p>
    <w:p>
      <w:pPr>
        <w:tabs>
          <w:tab w:val="left" w:pos="3640"/>
        </w:tabs>
        <w:autoSpaceDE w:val="0"/>
        <w:autoSpaceDN w:val="0"/>
        <w:spacing w:line="360" w:lineRule="auto"/>
        <w:ind w:firstLine="422" w:firstLineChars="200"/>
        <w:rPr>
          <w:rFonts w:ascii="宋体" w:hAnsi="宋体" w:cs="宋体"/>
          <w:color w:val="auto"/>
          <w:szCs w:val="21"/>
        </w:rPr>
      </w:pPr>
      <w:r>
        <w:rPr>
          <w:rFonts w:hint="eastAsia" w:ascii="宋体" w:hAnsi="宋体" w:cs="宋体"/>
          <w:b/>
          <w:color w:val="auto"/>
          <w:szCs w:val="21"/>
        </w:rPr>
        <w:t>二、服务期：</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三、服务人员配备：</w:t>
      </w:r>
    </w:p>
    <w:p>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四、服务地点：</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五、验收：</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六、付款方式：</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七、履约保证金退还：</w:t>
      </w:r>
    </w:p>
    <w:p>
      <w:pPr>
        <w:tabs>
          <w:tab w:val="left" w:pos="3640"/>
        </w:tabs>
        <w:autoSpaceDE w:val="0"/>
        <w:autoSpaceDN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八、违约责任</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1、买方无正当理由拒绝接受服务，买方向卖方偿付合同价的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w:t>
      </w:r>
      <w:r>
        <w:rPr>
          <w:rFonts w:hint="eastAsia" w:ascii="宋体" w:hAnsi="宋体" w:cs="宋体"/>
          <w:color w:val="auto"/>
          <w:szCs w:val="21"/>
        </w:rPr>
        <w:t>的违约金；</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2、买方无正当理由逾期付款的，买方向卖方每日偿付合同价的</w:t>
      </w:r>
      <w:r>
        <w:rPr>
          <w:rFonts w:hint="eastAsia" w:ascii="宋体" w:hAnsi="宋体" w:cs="宋体"/>
          <w:color w:val="auto"/>
          <w:spacing w:val="8"/>
          <w:szCs w:val="21"/>
          <w:u w:val="single"/>
        </w:rPr>
        <w:t xml:space="preserve">     </w:t>
      </w:r>
      <w:r>
        <w:rPr>
          <w:rFonts w:hint="eastAsia" w:ascii="宋体" w:hAnsi="宋体" w:cs="宋体"/>
          <w:color w:val="auto"/>
          <w:szCs w:val="21"/>
        </w:rPr>
        <w:t>‰的违约金；</w:t>
      </w:r>
    </w:p>
    <w:p>
      <w:pPr>
        <w:tabs>
          <w:tab w:val="left" w:pos="3640"/>
        </w:tabs>
        <w:autoSpaceDE w:val="0"/>
        <w:autoSpaceDN w:val="0"/>
        <w:spacing w:line="500" w:lineRule="exact"/>
        <w:ind w:firstLine="452" w:firstLineChars="200"/>
        <w:rPr>
          <w:rFonts w:ascii="宋体" w:hAnsi="宋体" w:cs="宋体"/>
          <w:b/>
          <w:color w:val="auto"/>
          <w:szCs w:val="21"/>
        </w:rPr>
      </w:pPr>
      <w:r>
        <w:rPr>
          <w:rFonts w:hint="eastAsia" w:ascii="宋体" w:hAnsi="宋体" w:cs="宋体"/>
          <w:color w:val="auto"/>
          <w:spacing w:val="8"/>
          <w:szCs w:val="21"/>
        </w:rPr>
        <w:t>3、卖方不能提供服务的，卖方向买方支付合同价的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pPr>
        <w:tabs>
          <w:tab w:val="left" w:pos="3640"/>
        </w:tabs>
        <w:autoSpaceDE w:val="0"/>
        <w:autoSpaceDN w:val="0"/>
        <w:spacing w:line="500" w:lineRule="exact"/>
        <w:ind w:firstLine="452" w:firstLineChars="200"/>
        <w:rPr>
          <w:rFonts w:ascii="宋体" w:hAnsi="宋体" w:cs="宋体"/>
          <w:b/>
          <w:color w:val="auto"/>
          <w:szCs w:val="21"/>
        </w:rPr>
      </w:pPr>
      <w:r>
        <w:rPr>
          <w:rFonts w:hint="eastAsia" w:ascii="宋体" w:hAnsi="宋体" w:cs="宋体"/>
          <w:color w:val="auto"/>
          <w:spacing w:val="8"/>
          <w:szCs w:val="21"/>
        </w:rPr>
        <w:t>4、卖方逾期提供服务的，卖方向买方每日偿付合同价的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pPr>
        <w:spacing w:line="500" w:lineRule="exact"/>
        <w:ind w:left="-178" w:leftChars="-85" w:firstLine="583" w:firstLineChars="257"/>
        <w:rPr>
          <w:rFonts w:ascii="宋体" w:hAnsi="宋体" w:cs="宋体"/>
          <w:b/>
          <w:color w:val="auto"/>
          <w:spacing w:val="8"/>
          <w:szCs w:val="21"/>
        </w:rPr>
      </w:pPr>
      <w:r>
        <w:rPr>
          <w:rFonts w:hint="eastAsia" w:ascii="宋体" w:hAnsi="宋体" w:cs="宋体"/>
          <w:b/>
          <w:color w:val="auto"/>
          <w:spacing w:val="8"/>
          <w:szCs w:val="21"/>
        </w:rPr>
        <w:t>九、解决合同纠纷方式</w:t>
      </w:r>
    </w:p>
    <w:p>
      <w:pPr>
        <w:tabs>
          <w:tab w:val="left" w:pos="3640"/>
        </w:tabs>
        <w:autoSpaceDE w:val="0"/>
        <w:autoSpaceDN w:val="0"/>
        <w:spacing w:line="500" w:lineRule="exact"/>
        <w:ind w:firstLine="452" w:firstLineChars="200"/>
        <w:rPr>
          <w:rFonts w:ascii="宋体" w:hAnsi="宋体" w:cs="宋体"/>
          <w:color w:val="auto"/>
          <w:spacing w:val="8"/>
          <w:szCs w:val="21"/>
        </w:rPr>
      </w:pPr>
      <w:r>
        <w:rPr>
          <w:rFonts w:hint="eastAsia" w:ascii="宋体" w:hAnsi="宋体" w:cs="宋体"/>
          <w:color w:val="auto"/>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b/>
          <w:color w:val="auto"/>
          <w:spacing w:val="8"/>
          <w:szCs w:val="21"/>
        </w:rPr>
      </w:pPr>
      <w:r>
        <w:rPr>
          <w:rFonts w:hint="eastAsia" w:ascii="宋体" w:hAnsi="宋体"/>
          <w:b/>
          <w:color w:val="auto"/>
          <w:spacing w:val="8"/>
          <w:szCs w:val="21"/>
        </w:rPr>
        <w:t>十、</w:t>
      </w:r>
      <w:r>
        <w:rPr>
          <w:rFonts w:hint="eastAsia" w:ascii="宋体" w:hAnsi="宋体" w:cs="宋体"/>
          <w:b/>
          <w:color w:val="auto"/>
          <w:szCs w:val="21"/>
        </w:rPr>
        <w:t>本合同组成及解释先后顺序：</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1、成交通知书；</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2、竞争性谈判文件；</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3、本合同文本；</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4、成交人的投标文件；　</w:t>
      </w:r>
    </w:p>
    <w:p>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5、其他补充约定事项。</w:t>
      </w:r>
    </w:p>
    <w:p>
      <w:pPr>
        <w:spacing w:line="360" w:lineRule="auto"/>
        <w:ind w:firstLine="413" w:firstLineChars="196"/>
        <w:rPr>
          <w:rFonts w:ascii="宋体" w:hAnsi="宋体"/>
          <w:b/>
          <w:color w:val="auto"/>
          <w:spacing w:val="8"/>
          <w:szCs w:val="21"/>
          <w:u w:val="single"/>
        </w:rPr>
      </w:pPr>
      <w:r>
        <w:rPr>
          <w:rFonts w:hint="eastAsia" w:ascii="宋体" w:hAnsi="宋体" w:cs="宋体"/>
          <w:b/>
          <w:color w:val="auto"/>
          <w:szCs w:val="21"/>
        </w:rPr>
        <w:t>十一、其他约定事项：</w:t>
      </w:r>
      <w:r>
        <w:rPr>
          <w:rFonts w:hint="eastAsia" w:ascii="宋体" w:hAnsi="宋体"/>
          <w:color w:val="auto"/>
          <w:spacing w:val="8"/>
          <w:szCs w:val="21"/>
          <w:u w:val="single"/>
        </w:rPr>
        <w:t xml:space="preserve"> 　　　　　　　　　　　  </w:t>
      </w:r>
      <w:r>
        <w:rPr>
          <w:rFonts w:hint="eastAsia" w:ascii="宋体" w:hAnsi="宋体"/>
          <w:b/>
          <w:color w:val="auto"/>
          <w:spacing w:val="8"/>
          <w:szCs w:val="21"/>
          <w:u w:val="single"/>
        </w:rPr>
        <w:t xml:space="preserve">                               </w:t>
      </w:r>
    </w:p>
    <w:p>
      <w:pPr>
        <w:spacing w:line="360" w:lineRule="auto"/>
        <w:ind w:left="-178" w:leftChars="-85" w:firstLine="177" w:firstLineChars="78"/>
        <w:rPr>
          <w:rFonts w:ascii="宋体" w:hAnsi="宋体"/>
          <w:color w:val="auto"/>
          <w:spacing w:val="8"/>
          <w:szCs w:val="21"/>
          <w:u w:val="single"/>
        </w:rPr>
      </w:pPr>
      <w:r>
        <w:rPr>
          <w:rFonts w:hint="eastAsia" w:ascii="宋体" w:hAnsi="宋体"/>
          <w:b/>
          <w:color w:val="auto"/>
          <w:spacing w:val="8"/>
          <w:szCs w:val="21"/>
          <w:u w:val="single"/>
        </w:rPr>
        <w:t xml:space="preserve">                                                       </w:t>
      </w:r>
      <w:r>
        <w:rPr>
          <w:rFonts w:hint="eastAsia" w:ascii="宋体" w:hAnsi="宋体"/>
          <w:color w:val="auto"/>
          <w:spacing w:val="8"/>
          <w:szCs w:val="21"/>
          <w:u w:val="single"/>
        </w:rPr>
        <w:t xml:space="preserve">                    </w:t>
      </w:r>
    </w:p>
    <w:p>
      <w:pPr>
        <w:spacing w:line="360" w:lineRule="auto"/>
        <w:ind w:left="-178" w:leftChars="-85" w:firstLine="176" w:firstLineChars="78"/>
        <w:rPr>
          <w:rFonts w:ascii="宋体" w:hAnsi="宋体"/>
          <w:color w:val="auto"/>
          <w:spacing w:val="8"/>
          <w:szCs w:val="21"/>
          <w:u w:val="single"/>
        </w:rPr>
      </w:pPr>
      <w:r>
        <w:rPr>
          <w:rFonts w:hint="eastAsia" w:ascii="宋体" w:hAnsi="宋体"/>
          <w:color w:val="auto"/>
          <w:spacing w:val="8"/>
          <w:szCs w:val="21"/>
          <w:u w:val="single"/>
        </w:rPr>
        <w:t xml:space="preserve">                                                                           </w:t>
      </w:r>
    </w:p>
    <w:p>
      <w:pPr>
        <w:spacing w:line="360" w:lineRule="auto"/>
        <w:ind w:left="-178" w:leftChars="-85" w:firstLine="176" w:firstLineChars="78"/>
        <w:rPr>
          <w:rFonts w:ascii="宋体" w:hAnsi="宋体" w:cs="宋体"/>
          <w:color w:val="auto"/>
          <w:spacing w:val="8"/>
          <w:szCs w:val="21"/>
          <w:u w:val="single"/>
        </w:rPr>
      </w:pPr>
    </w:p>
    <w:p>
      <w:pPr>
        <w:tabs>
          <w:tab w:val="left" w:pos="3640"/>
        </w:tabs>
        <w:autoSpaceDE w:val="0"/>
        <w:autoSpaceDN w:val="0"/>
        <w:spacing w:line="360" w:lineRule="auto"/>
        <w:ind w:firstLine="420" w:firstLineChars="200"/>
        <w:rPr>
          <w:rFonts w:ascii="宋体" w:hAnsi="宋体" w:cs="宋体"/>
          <w:color w:val="auto"/>
          <w:szCs w:val="21"/>
        </w:rPr>
      </w:pP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买  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卖   方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采购人（盖章）：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成交人（盖章）：</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年   月    日                   年   月    日</w:t>
      </w:r>
    </w:p>
    <w:p>
      <w:pPr>
        <w:widowControl/>
        <w:jc w:val="left"/>
        <w:rPr>
          <w:rFonts w:ascii="宋体" w:hAnsi="宋体" w:cs="宋体"/>
          <w:color w:val="auto"/>
          <w:szCs w:val="21"/>
        </w:rPr>
      </w:pPr>
      <w:r>
        <w:rPr>
          <w:rFonts w:ascii="宋体" w:hAnsi="宋体" w:cs="宋体"/>
          <w:color w:val="auto"/>
          <w:szCs w:val="21"/>
        </w:rPr>
        <w:br w:type="page"/>
      </w:r>
    </w:p>
    <w:p>
      <w:pPr>
        <w:pStyle w:val="4"/>
        <w:rPr>
          <w:rFonts w:ascii="宋体" w:hAnsi="宋体" w:cs="宋体"/>
          <w:color w:val="auto"/>
        </w:rPr>
      </w:pPr>
      <w:bookmarkStart w:id="41" w:name="_Toc54939200"/>
      <w:r>
        <w:rPr>
          <w:rFonts w:hint="eastAsia" w:ascii="宋体" w:hAnsi="宋体" w:cs="宋体"/>
          <w:color w:val="auto"/>
        </w:rPr>
        <w:t>第五章   谈判响应文件格式</w:t>
      </w:r>
      <w:bookmarkEnd w:id="40"/>
      <w:bookmarkEnd w:id="41"/>
    </w:p>
    <w:p>
      <w:pPr>
        <w:spacing w:line="360" w:lineRule="auto"/>
        <w:jc w:val="center"/>
        <w:rPr>
          <w:rFonts w:ascii="宋体" w:hAnsi="宋体" w:cs="宋体"/>
          <w:b/>
          <w:color w:val="auto"/>
          <w:spacing w:val="20"/>
          <w:sz w:val="36"/>
          <w:szCs w:val="36"/>
          <w:u w:val="single"/>
        </w:rPr>
      </w:pPr>
    </w:p>
    <w:p>
      <w:pPr>
        <w:spacing w:line="360" w:lineRule="auto"/>
        <w:jc w:val="center"/>
        <w:rPr>
          <w:rFonts w:ascii="宋体" w:hAnsi="宋体" w:cs="宋体"/>
          <w:b/>
          <w:color w:val="auto"/>
          <w:spacing w:val="20"/>
          <w:sz w:val="36"/>
          <w:szCs w:val="36"/>
        </w:rPr>
      </w:pPr>
      <w:r>
        <w:rPr>
          <w:rFonts w:hint="eastAsia" w:ascii="宋体" w:hAnsi="宋体" w:cs="宋体"/>
          <w:b/>
          <w:color w:val="auto"/>
          <w:spacing w:val="20"/>
          <w:sz w:val="36"/>
          <w:szCs w:val="36"/>
          <w:u w:val="single"/>
        </w:rPr>
        <w:t xml:space="preserve">                              </w:t>
      </w:r>
      <w:r>
        <w:rPr>
          <w:rFonts w:hint="eastAsia" w:ascii="宋体" w:hAnsi="宋体" w:cs="宋体"/>
          <w:b/>
          <w:color w:val="auto"/>
          <w:spacing w:val="20"/>
          <w:sz w:val="36"/>
          <w:szCs w:val="36"/>
        </w:rPr>
        <w:t>采购</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谈</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判</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响</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应</w:t>
      </w:r>
    </w:p>
    <w:p>
      <w:pPr>
        <w:spacing w:line="800" w:lineRule="exact"/>
        <w:jc w:val="center"/>
        <w:rPr>
          <w:rFonts w:ascii="宋体" w:hAnsi="宋体" w:cs="宋体"/>
          <w:b/>
          <w:color w:val="auto"/>
          <w:sz w:val="72"/>
          <w:szCs w:val="72"/>
        </w:rPr>
      </w:pPr>
      <w:r>
        <w:rPr>
          <w:rFonts w:hint="eastAsia" w:ascii="宋体" w:hAnsi="宋体" w:cs="宋体"/>
          <w:b/>
          <w:color w:val="auto"/>
          <w:sz w:val="72"/>
          <w:szCs w:val="72"/>
        </w:rPr>
        <w:t>文</w:t>
      </w:r>
    </w:p>
    <w:p>
      <w:pPr>
        <w:spacing w:line="360" w:lineRule="auto"/>
        <w:jc w:val="center"/>
        <w:rPr>
          <w:rFonts w:ascii="宋体" w:hAnsi="宋体" w:cs="宋体"/>
          <w:color w:val="auto"/>
          <w:sz w:val="24"/>
        </w:rPr>
      </w:pPr>
      <w:r>
        <w:rPr>
          <w:rFonts w:hint="eastAsia" w:ascii="宋体" w:hAnsi="宋体" w:cs="宋体"/>
          <w:b/>
          <w:color w:val="auto"/>
          <w:sz w:val="72"/>
          <w:szCs w:val="72"/>
        </w:rPr>
        <w:t>件</w:t>
      </w: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采购人名称： </w:t>
      </w:r>
      <w:r>
        <w:rPr>
          <w:rFonts w:hint="eastAsia" w:ascii="宋体" w:hAnsi="宋体" w:cs="宋体"/>
          <w:b/>
          <w:color w:val="auto"/>
          <w:sz w:val="30"/>
          <w:szCs w:val="30"/>
          <w:u w:val="single"/>
        </w:rPr>
        <w:t xml:space="preserve">                                             </w:t>
      </w:r>
    </w:p>
    <w:p>
      <w:pPr>
        <w:spacing w:line="360" w:lineRule="auto"/>
        <w:rPr>
          <w:rFonts w:ascii="宋体" w:hAnsi="宋体" w:cs="宋体"/>
          <w:b/>
          <w:color w:val="auto"/>
          <w:sz w:val="30"/>
          <w:szCs w:val="30"/>
        </w:rPr>
      </w:pPr>
    </w:p>
    <w:p>
      <w:pPr>
        <w:spacing w:line="360" w:lineRule="auto"/>
        <w:ind w:firstLine="148" w:firstLineChars="49"/>
        <w:rPr>
          <w:rFonts w:ascii="宋体" w:hAnsi="宋体" w:cs="宋体"/>
          <w:b/>
          <w:color w:val="auto"/>
          <w:sz w:val="30"/>
          <w:szCs w:val="30"/>
        </w:rPr>
      </w:pPr>
      <w:r>
        <w:rPr>
          <w:rFonts w:hint="eastAsia" w:ascii="宋体" w:hAnsi="宋体" w:cs="宋体"/>
          <w:b/>
          <w:color w:val="auto"/>
          <w:sz w:val="30"/>
          <w:szCs w:val="30"/>
        </w:rPr>
        <w:t xml:space="preserve">谈判响应人名称： </w:t>
      </w:r>
      <w:r>
        <w:rPr>
          <w:rFonts w:hint="eastAsia" w:ascii="宋体" w:hAnsi="宋体" w:cs="宋体"/>
          <w:b/>
          <w:color w:val="auto"/>
          <w:sz w:val="30"/>
          <w:szCs w:val="30"/>
          <w:u w:val="single"/>
        </w:rPr>
        <w:t xml:space="preserve">                                   （盖 章）           </w:t>
      </w:r>
    </w:p>
    <w:p>
      <w:pPr>
        <w:spacing w:line="360" w:lineRule="auto"/>
        <w:rPr>
          <w:rFonts w:ascii="宋体" w:hAnsi="宋体" w:cs="宋体"/>
          <w:b/>
          <w:color w:val="auto"/>
          <w:sz w:val="30"/>
          <w:szCs w:val="30"/>
        </w:rPr>
      </w:pPr>
    </w:p>
    <w:p>
      <w:pPr>
        <w:spacing w:line="360" w:lineRule="auto"/>
        <w:ind w:firstLine="148" w:firstLineChars="49"/>
        <w:jc w:val="left"/>
        <w:rPr>
          <w:rFonts w:ascii="宋体" w:hAnsi="宋体" w:cs="宋体"/>
          <w:b/>
          <w:color w:val="auto"/>
          <w:sz w:val="30"/>
          <w:szCs w:val="30"/>
        </w:rPr>
      </w:pPr>
      <w:r>
        <w:rPr>
          <w:rFonts w:hint="eastAsia" w:ascii="宋体" w:hAnsi="宋体" w:cs="宋体"/>
          <w:b/>
          <w:color w:val="auto"/>
          <w:sz w:val="30"/>
          <w:szCs w:val="30"/>
        </w:rPr>
        <w:t>法定代表人或执行事务合伙人</w:t>
      </w:r>
      <w:r>
        <w:rPr>
          <w:rFonts w:hint="eastAsia" w:ascii="宋体" w:hAnsi="宋体" w:cs="宋体"/>
          <w:b/>
          <w:color w:val="auto"/>
          <w:sz w:val="30"/>
          <w:szCs w:val="30"/>
          <w:lang w:val="en-US" w:eastAsia="zh-CN"/>
        </w:rPr>
        <w:t>或委托代理人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 xml:space="preserve">  </w:t>
      </w:r>
      <w:r>
        <w:rPr>
          <w:rFonts w:hint="eastAsia" w:ascii="宋体" w:hAnsi="宋体" w:cs="宋体"/>
          <w:b/>
          <w:color w:val="auto"/>
          <w:sz w:val="30"/>
          <w:szCs w:val="30"/>
          <w:u w:val="single"/>
        </w:rPr>
        <w:t xml:space="preserve">  (</w:t>
      </w:r>
      <w:r>
        <w:rPr>
          <w:rFonts w:hint="eastAsia" w:ascii="宋体" w:hAnsi="宋体" w:cs="宋体"/>
          <w:b/>
          <w:color w:val="auto"/>
          <w:sz w:val="30"/>
          <w:szCs w:val="30"/>
          <w:u w:val="single"/>
          <w:lang w:val="en-US" w:eastAsia="zh-CN"/>
        </w:rPr>
        <w:t>签字或</w:t>
      </w:r>
      <w:r>
        <w:rPr>
          <w:rFonts w:hint="eastAsia" w:ascii="宋体" w:hAnsi="宋体" w:cs="宋体"/>
          <w:b/>
          <w:color w:val="auto"/>
          <w:sz w:val="30"/>
          <w:szCs w:val="30"/>
          <w:u w:val="single"/>
        </w:rPr>
        <w:t xml:space="preserve">盖章) </w:t>
      </w:r>
    </w:p>
    <w:p>
      <w:pPr>
        <w:spacing w:line="360" w:lineRule="auto"/>
        <w:rPr>
          <w:rFonts w:ascii="宋体" w:hAnsi="宋体" w:cs="宋体"/>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pPr>
        <w:widowControl/>
        <w:jc w:val="left"/>
        <w:rPr>
          <w:rFonts w:ascii="宋体" w:hAnsi="宋体" w:cs="宋体"/>
          <w:b/>
          <w:color w:val="auto"/>
          <w:sz w:val="30"/>
          <w:szCs w:val="30"/>
        </w:rPr>
      </w:pPr>
      <w:r>
        <w:rPr>
          <w:rFonts w:ascii="宋体" w:hAnsi="宋体" w:cs="宋体"/>
          <w:b/>
          <w:color w:val="auto"/>
          <w:sz w:val="30"/>
          <w:szCs w:val="30"/>
        </w:rPr>
        <w:br w:type="page"/>
      </w:r>
    </w:p>
    <w:p>
      <w:pPr>
        <w:jc w:val="center"/>
        <w:rPr>
          <w:rFonts w:ascii="宋体" w:hAnsi="宋体" w:cs="宋体"/>
          <w:b/>
          <w:color w:val="auto"/>
          <w:sz w:val="30"/>
          <w:szCs w:val="30"/>
        </w:rPr>
      </w:pPr>
      <w:r>
        <w:rPr>
          <w:rFonts w:hint="eastAsia" w:ascii="宋体" w:hAnsi="宋体" w:cs="宋体"/>
          <w:b/>
          <w:color w:val="auto"/>
          <w:sz w:val="30"/>
          <w:szCs w:val="30"/>
        </w:rPr>
        <w:t>目 录</w:t>
      </w:r>
    </w:p>
    <w:p>
      <w:pPr>
        <w:spacing w:line="480" w:lineRule="auto"/>
        <w:ind w:firstLine="480" w:firstLineChars="200"/>
        <w:rPr>
          <w:rFonts w:ascii="宋体" w:hAnsi="宋体" w:cs="宋体"/>
          <w:color w:val="auto"/>
          <w:sz w:val="24"/>
        </w:rPr>
      </w:pPr>
      <w:r>
        <w:rPr>
          <w:rFonts w:hint="eastAsia" w:ascii="宋体" w:hAnsi="宋体" w:cs="宋体"/>
          <w:color w:val="auto"/>
          <w:sz w:val="24"/>
        </w:rPr>
        <w:t>一、谈判响应函</w:t>
      </w:r>
    </w:p>
    <w:p>
      <w:pPr>
        <w:spacing w:line="480" w:lineRule="auto"/>
        <w:ind w:firstLine="480" w:firstLineChars="200"/>
        <w:rPr>
          <w:rFonts w:ascii="宋体" w:hAnsi="宋体" w:cs="宋体"/>
          <w:color w:val="auto"/>
          <w:sz w:val="24"/>
        </w:rPr>
      </w:pPr>
      <w:r>
        <w:rPr>
          <w:rFonts w:hint="eastAsia" w:ascii="宋体" w:hAnsi="宋体" w:cs="宋体"/>
          <w:color w:val="auto"/>
          <w:sz w:val="24"/>
        </w:rPr>
        <w:t>二、服务报价表（首轮）、最终报价表</w:t>
      </w:r>
    </w:p>
    <w:p>
      <w:pPr>
        <w:spacing w:line="480" w:lineRule="auto"/>
        <w:ind w:firstLine="480" w:firstLineChars="200"/>
        <w:rPr>
          <w:rFonts w:ascii="宋体" w:hAnsi="宋体" w:cs="宋体"/>
          <w:color w:val="auto"/>
          <w:sz w:val="24"/>
        </w:rPr>
      </w:pPr>
      <w:r>
        <w:rPr>
          <w:rFonts w:hint="eastAsia" w:ascii="宋体" w:hAnsi="宋体" w:cs="宋体"/>
          <w:color w:val="auto"/>
          <w:sz w:val="24"/>
        </w:rPr>
        <w:t>三、服务内容及质量要求响应表</w:t>
      </w:r>
    </w:p>
    <w:p>
      <w:pPr>
        <w:spacing w:line="480" w:lineRule="auto"/>
        <w:ind w:firstLine="480" w:firstLineChars="200"/>
        <w:rPr>
          <w:rFonts w:ascii="宋体" w:hAnsi="宋体" w:cs="宋体"/>
          <w:color w:val="auto"/>
          <w:sz w:val="24"/>
        </w:rPr>
      </w:pPr>
      <w:r>
        <w:rPr>
          <w:rFonts w:hint="eastAsia" w:ascii="宋体" w:hAnsi="宋体" w:cs="宋体"/>
          <w:color w:val="auto"/>
          <w:sz w:val="24"/>
        </w:rPr>
        <w:t>四、服务方案</w:t>
      </w:r>
    </w:p>
    <w:p>
      <w:pPr>
        <w:spacing w:line="480" w:lineRule="auto"/>
        <w:ind w:firstLine="480" w:firstLineChars="200"/>
        <w:rPr>
          <w:rFonts w:ascii="宋体" w:hAnsi="宋体" w:cs="宋体"/>
          <w:color w:val="auto"/>
          <w:sz w:val="24"/>
        </w:rPr>
      </w:pPr>
      <w:r>
        <w:rPr>
          <w:rFonts w:hint="eastAsia" w:ascii="宋体" w:hAnsi="宋体" w:cs="宋体"/>
          <w:color w:val="auto"/>
          <w:sz w:val="24"/>
        </w:rPr>
        <w:t>五、诚信谈判响应承诺书</w:t>
      </w:r>
    </w:p>
    <w:p>
      <w:pPr>
        <w:spacing w:line="480" w:lineRule="auto"/>
        <w:ind w:firstLine="480" w:firstLineChars="200"/>
        <w:rPr>
          <w:rFonts w:ascii="宋体" w:hAnsi="宋体" w:cs="宋体"/>
          <w:color w:val="auto"/>
          <w:sz w:val="24"/>
        </w:rPr>
      </w:pPr>
      <w:r>
        <w:rPr>
          <w:rFonts w:hint="eastAsia" w:ascii="宋体" w:hAnsi="宋体"/>
          <w:color w:val="auto"/>
          <w:sz w:val="24"/>
        </w:rPr>
        <w:t>六、</w:t>
      </w:r>
      <w:r>
        <w:rPr>
          <w:rFonts w:hint="eastAsia" w:ascii="宋体" w:hAnsi="宋体" w:cs="宋体"/>
          <w:color w:val="auto"/>
          <w:sz w:val="24"/>
        </w:rPr>
        <w:t>资格证明文件</w:t>
      </w:r>
    </w:p>
    <w:p>
      <w:pPr>
        <w:widowControl/>
        <w:jc w:val="left"/>
        <w:rPr>
          <w:rFonts w:ascii="宋体" w:hAnsi="宋体" w:cs="宋体"/>
          <w:color w:val="auto"/>
          <w:sz w:val="24"/>
        </w:rPr>
      </w:pPr>
      <w:r>
        <w:rPr>
          <w:rFonts w:ascii="宋体" w:hAnsi="宋体" w:cs="宋体"/>
          <w:color w:val="auto"/>
          <w:sz w:val="24"/>
        </w:rPr>
        <w:br w:type="page"/>
      </w:r>
    </w:p>
    <w:p>
      <w:pPr>
        <w:pStyle w:val="7"/>
        <w:jc w:val="center"/>
        <w:rPr>
          <w:rFonts w:hAnsi="宋体" w:cs="宋体"/>
          <w:color w:val="auto"/>
        </w:rPr>
      </w:pPr>
      <w:bookmarkStart w:id="42" w:name="_Toc13905"/>
      <w:bookmarkStart w:id="43" w:name="_Toc54939201"/>
      <w:r>
        <w:rPr>
          <w:rFonts w:hint="eastAsia" w:hAnsi="宋体" w:cs="宋体"/>
          <w:color w:val="auto"/>
        </w:rPr>
        <w:t>一、谈判响应函</w:t>
      </w:r>
      <w:bookmarkEnd w:id="42"/>
      <w:bookmarkEnd w:id="43"/>
    </w:p>
    <w:p>
      <w:pPr>
        <w:tabs>
          <w:tab w:val="left" w:pos="5580"/>
        </w:tabs>
        <w:spacing w:before="120" w:line="360" w:lineRule="auto"/>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u w:val="single"/>
          <w:lang w:val="en-US" w:eastAsia="zh-CN"/>
        </w:rPr>
        <w:t>安庆职业技术学院</w:t>
      </w:r>
    </w:p>
    <w:p>
      <w:pPr>
        <w:pStyle w:val="12"/>
        <w:tabs>
          <w:tab w:val="left" w:pos="5580"/>
        </w:tabs>
        <w:spacing w:line="360" w:lineRule="auto"/>
        <w:ind w:firstLine="420" w:firstLineChars="200"/>
        <w:rPr>
          <w:rFonts w:hAnsi="宋体" w:cs="宋体"/>
          <w:color w:val="auto"/>
          <w:szCs w:val="21"/>
        </w:rPr>
      </w:pPr>
      <w:r>
        <w:rPr>
          <w:rFonts w:hint="eastAsia" w:hAnsi="宋体" w:cs="宋体"/>
          <w:color w:val="auto"/>
          <w:szCs w:val="21"/>
        </w:rPr>
        <w:t>1、根据贵方竞争性谈判</w:t>
      </w:r>
      <w:r>
        <w:rPr>
          <w:rFonts w:hint="eastAsia" w:hAnsi="宋体" w:cs="宋体"/>
          <w:color w:val="auto"/>
          <w:szCs w:val="21"/>
          <w:lang w:val="en-US" w:eastAsia="zh-CN"/>
        </w:rPr>
        <w:t>邀请书</w:t>
      </w:r>
      <w:r>
        <w:rPr>
          <w:rFonts w:hint="eastAsia" w:hAnsi="宋体" w:cs="宋体"/>
          <w:color w:val="auto"/>
          <w:szCs w:val="21"/>
        </w:rPr>
        <w:t>，我方决定参加贵方组织的</w:t>
      </w:r>
      <w:r>
        <w:rPr>
          <w:rFonts w:hint="eastAsia" w:hAnsi="宋体" w:cs="宋体"/>
          <w:color w:val="auto"/>
          <w:szCs w:val="21"/>
          <w:u w:val="single"/>
        </w:rPr>
        <w:t xml:space="preserve"> </w:t>
      </w:r>
      <w:r>
        <w:rPr>
          <w:rFonts w:hint="eastAsia" w:hAnsi="宋体" w:cs="宋体"/>
          <w:color w:val="auto"/>
          <w:szCs w:val="21"/>
          <w:u w:val="single"/>
          <w:lang w:eastAsia="zh-CN"/>
        </w:rPr>
        <w:t>安庆职业技术学院2021年度国有资产清查及专项审计业务第三方中介机构采购（二次）</w:t>
      </w:r>
      <w:r>
        <w:rPr>
          <w:rFonts w:hint="eastAsia" w:hAnsi="宋体" w:cs="宋体"/>
          <w:color w:val="auto"/>
          <w:szCs w:val="21"/>
        </w:rPr>
        <w:t>项目的采购活动。我方授权</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r>
        <w:rPr>
          <w:rFonts w:hint="eastAsia" w:hAnsi="宋体" w:cs="宋体"/>
          <w:color w:val="auto"/>
          <w:szCs w:val="21"/>
        </w:rPr>
        <w:t>(姓名和职务)代表我方</w:t>
      </w:r>
      <w:r>
        <w:rPr>
          <w:rFonts w:hint="eastAsia" w:hAnsi="宋体" w:cs="宋体"/>
          <w:color w:val="auto"/>
          <w:szCs w:val="21"/>
          <w:u w:val="single"/>
        </w:rPr>
        <w:t xml:space="preserve">                    </w:t>
      </w:r>
      <w:r>
        <w:rPr>
          <w:rFonts w:hint="eastAsia" w:hAnsi="宋体" w:cs="宋体"/>
          <w:color w:val="auto"/>
          <w:szCs w:val="21"/>
        </w:rPr>
        <w:t>全权处理本项目谈判响应的有关事宜。</w:t>
      </w:r>
    </w:p>
    <w:p>
      <w:pPr>
        <w:pStyle w:val="12"/>
        <w:tabs>
          <w:tab w:val="left" w:pos="5580"/>
        </w:tabs>
        <w:spacing w:line="360" w:lineRule="auto"/>
        <w:ind w:firstLine="420" w:firstLineChars="200"/>
        <w:rPr>
          <w:rFonts w:hAnsi="宋体" w:cs="宋体"/>
          <w:color w:val="auto"/>
          <w:szCs w:val="21"/>
        </w:rPr>
      </w:pPr>
      <w:r>
        <w:rPr>
          <w:rFonts w:hint="eastAsia" w:hAnsi="宋体" w:cs="宋体"/>
          <w:color w:val="auto"/>
          <w:szCs w:val="21"/>
        </w:rPr>
        <w:t>2、我方愿意按照竞争性谈判文件约定的各项要求，向采购人提供所需的服务，报价为人民币（大写）</w:t>
      </w:r>
      <w:r>
        <w:rPr>
          <w:rFonts w:hint="eastAsia" w:hAnsi="宋体" w:cs="宋体"/>
          <w:color w:val="auto"/>
          <w:szCs w:val="21"/>
          <w:u w:val="single"/>
        </w:rPr>
        <w:t xml:space="preserve">        </w:t>
      </w:r>
      <w:r>
        <w:rPr>
          <w:rFonts w:hint="eastAsia" w:hAnsi="宋体" w:cs="宋体"/>
          <w:color w:val="auto"/>
          <w:szCs w:val="21"/>
          <w:u w:val="single"/>
          <w:lang w:val="en-US" w:eastAsia="zh-CN"/>
        </w:rPr>
        <w:t>元</w:t>
      </w:r>
      <w:r>
        <w:rPr>
          <w:rFonts w:hint="eastAsia" w:hAnsi="宋体" w:cs="宋体"/>
          <w:color w:val="auto"/>
          <w:szCs w:val="21"/>
          <w:u w:val="single"/>
        </w:rPr>
        <w:t xml:space="preserve">   </w:t>
      </w:r>
      <w:r>
        <w:rPr>
          <w:rFonts w:hint="eastAsia" w:hAnsi="宋体" w:cs="宋体"/>
          <w:color w:val="auto"/>
          <w:szCs w:val="21"/>
        </w:rPr>
        <w:t>(小写)</w:t>
      </w:r>
      <w:r>
        <w:rPr>
          <w:rFonts w:hint="eastAsia" w:hAnsi="宋体" w:cs="宋体"/>
          <w:color w:val="auto"/>
          <w:szCs w:val="21"/>
          <w:u w:val="single"/>
        </w:rPr>
        <w:t xml:space="preserve">       元</w:t>
      </w:r>
      <w:r>
        <w:rPr>
          <w:rFonts w:hint="eastAsia" w:hAnsi="宋体" w:cs="宋体"/>
          <w:color w:val="auto"/>
          <w:szCs w:val="21"/>
        </w:rPr>
        <w:t>。</w:t>
      </w:r>
    </w:p>
    <w:p>
      <w:pPr>
        <w:pStyle w:val="12"/>
        <w:tabs>
          <w:tab w:val="left" w:pos="5580"/>
        </w:tabs>
        <w:spacing w:line="360" w:lineRule="auto"/>
        <w:ind w:firstLine="420" w:firstLineChars="200"/>
        <w:rPr>
          <w:rFonts w:hint="eastAsia" w:hAnsi="宋体"/>
          <w:color w:val="auto"/>
          <w:szCs w:val="21"/>
          <w:lang w:val="en-US" w:eastAsia="zh-CN"/>
        </w:rPr>
      </w:pPr>
      <w:r>
        <w:rPr>
          <w:rFonts w:hint="eastAsia" w:hAnsi="宋体" w:cs="宋体"/>
          <w:color w:val="auto"/>
          <w:szCs w:val="21"/>
        </w:rPr>
        <w:t>3、一旦我方成交，我方将严格履行合同约定的责任和义务，</w:t>
      </w:r>
      <w:r>
        <w:rPr>
          <w:rFonts w:hint="eastAsia" w:hAnsi="宋体"/>
          <w:color w:val="auto"/>
          <w:szCs w:val="21"/>
        </w:rPr>
        <w:t>保证该项目</w:t>
      </w:r>
      <w:r>
        <w:rPr>
          <w:rFonts w:hint="eastAsia" w:hAnsi="宋体"/>
          <w:color w:val="auto"/>
          <w:szCs w:val="21"/>
          <w:lang w:val="en-US" w:eastAsia="zh-CN"/>
        </w:rPr>
        <w:t>服务期为合同签订后</w:t>
      </w:r>
    </w:p>
    <w:p>
      <w:pPr>
        <w:pStyle w:val="12"/>
        <w:tabs>
          <w:tab w:val="left" w:pos="5580"/>
        </w:tabs>
        <w:spacing w:line="360" w:lineRule="auto"/>
        <w:rPr>
          <w:rFonts w:hAnsi="宋体" w:cs="宋体"/>
          <w:color w:val="auto"/>
          <w:szCs w:val="21"/>
        </w:rPr>
      </w:pP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olor w:val="auto"/>
          <w:szCs w:val="21"/>
          <w:lang w:val="en-US" w:eastAsia="zh-CN"/>
        </w:rPr>
        <w:t>个月内完成</w:t>
      </w:r>
      <w:r>
        <w:rPr>
          <w:rFonts w:hint="eastAsia" w:hAnsi="宋体"/>
          <w:color w:val="auto"/>
          <w:szCs w:val="21"/>
        </w:rPr>
        <w:t>。</w:t>
      </w:r>
    </w:p>
    <w:p>
      <w:pPr>
        <w:pStyle w:val="12"/>
        <w:numPr>
          <w:ilvl w:val="0"/>
          <w:numId w:val="4"/>
        </w:numPr>
        <w:tabs>
          <w:tab w:val="left" w:pos="5580"/>
        </w:tabs>
        <w:spacing w:line="360" w:lineRule="auto"/>
        <w:ind w:left="26" w:leftChars="0" w:firstLine="394" w:firstLineChars="0"/>
        <w:rPr>
          <w:rFonts w:hint="eastAsia" w:hAnsi="宋体" w:cs="宋体"/>
          <w:color w:val="auto"/>
          <w:szCs w:val="21"/>
        </w:rPr>
      </w:pPr>
      <w:r>
        <w:rPr>
          <w:rFonts w:hint="eastAsia" w:hAnsi="宋体" w:cs="宋体"/>
          <w:color w:val="auto"/>
          <w:szCs w:val="21"/>
        </w:rPr>
        <w:t>我方保证按照本项目竞争性谈判文件要求提交谈判响应文件。</w:t>
      </w:r>
    </w:p>
    <w:p>
      <w:pPr>
        <w:pStyle w:val="12"/>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5</w:t>
      </w:r>
      <w:r>
        <w:rPr>
          <w:rFonts w:hint="eastAsia" w:hAnsi="宋体" w:cs="宋体"/>
          <w:color w:val="auto"/>
          <w:szCs w:val="21"/>
        </w:rPr>
        <w:t>、我方愿意提供贵方可能另外要求的、与谈判响应有关的文件资料，并保证我方已提供和将要提供的文件是真实的、准确的。</w:t>
      </w:r>
    </w:p>
    <w:p>
      <w:pPr>
        <w:pStyle w:val="12"/>
        <w:tabs>
          <w:tab w:val="left" w:pos="5580"/>
        </w:tabs>
        <w:spacing w:line="360" w:lineRule="auto"/>
        <w:ind w:firstLine="417" w:firstLineChars="199"/>
        <w:rPr>
          <w:rFonts w:hAnsi="宋体" w:cs="宋体"/>
          <w:color w:val="auto"/>
          <w:szCs w:val="21"/>
        </w:rPr>
      </w:pPr>
      <w:r>
        <w:rPr>
          <w:rFonts w:hint="eastAsia" w:hAnsi="宋体" w:cs="宋体"/>
          <w:color w:val="auto"/>
          <w:szCs w:val="21"/>
          <w:lang w:val="en-US" w:eastAsia="zh-CN"/>
        </w:rPr>
        <w:t>6</w:t>
      </w:r>
      <w:r>
        <w:rPr>
          <w:rFonts w:hint="eastAsia" w:hAnsi="宋体" w:cs="宋体"/>
          <w:color w:val="auto"/>
          <w:szCs w:val="21"/>
        </w:rPr>
        <w:t>、我方完全理解贵方不一定将合同授予最低报价的谈判响应人。</w:t>
      </w:r>
    </w:p>
    <w:p>
      <w:pPr>
        <w:pStyle w:val="12"/>
        <w:tabs>
          <w:tab w:val="left" w:pos="5580"/>
        </w:tabs>
        <w:spacing w:line="360" w:lineRule="auto"/>
        <w:ind w:right="360" w:firstLine="3570" w:firstLineChars="1700"/>
        <w:rPr>
          <w:rFonts w:hAnsi="宋体" w:cs="宋体"/>
          <w:color w:val="auto"/>
          <w:szCs w:val="21"/>
        </w:rPr>
      </w:pPr>
    </w:p>
    <w:p>
      <w:pPr>
        <w:pStyle w:val="12"/>
        <w:tabs>
          <w:tab w:val="left" w:pos="5580"/>
        </w:tabs>
        <w:spacing w:line="360" w:lineRule="auto"/>
        <w:ind w:right="360" w:firstLine="3570" w:firstLineChars="1700"/>
        <w:rPr>
          <w:rFonts w:hAnsi="宋体" w:cs="宋体"/>
          <w:color w:val="auto"/>
          <w:szCs w:val="21"/>
        </w:rPr>
      </w:pPr>
    </w:p>
    <w:p>
      <w:pPr>
        <w:pStyle w:val="12"/>
        <w:tabs>
          <w:tab w:val="left" w:pos="5580"/>
        </w:tabs>
        <w:spacing w:line="360" w:lineRule="auto"/>
        <w:ind w:right="360" w:firstLine="3570" w:firstLineChars="1700"/>
        <w:rPr>
          <w:rFonts w:hAnsi="宋体" w:cs="宋体"/>
          <w:color w:val="auto"/>
          <w:szCs w:val="21"/>
          <w:u w:val="single"/>
        </w:rPr>
      </w:pPr>
      <w:r>
        <w:rPr>
          <w:rFonts w:hint="eastAsia" w:hAnsi="宋体" w:cs="宋体"/>
          <w:color w:val="auto"/>
          <w:szCs w:val="21"/>
        </w:rPr>
        <w:t>谈判响应人：</w:t>
      </w:r>
      <w:r>
        <w:rPr>
          <w:rFonts w:hint="eastAsia" w:hAnsi="宋体" w:cs="宋体"/>
          <w:color w:val="auto"/>
          <w:szCs w:val="21"/>
          <w:u w:val="single"/>
        </w:rPr>
        <w:t xml:space="preserve">                           （盖章） </w:t>
      </w:r>
    </w:p>
    <w:p>
      <w:pPr>
        <w:pStyle w:val="12"/>
        <w:tabs>
          <w:tab w:val="left" w:pos="5580"/>
        </w:tabs>
        <w:spacing w:line="360" w:lineRule="auto"/>
        <w:ind w:firstLine="420" w:firstLineChars="200"/>
        <w:rPr>
          <w:rFonts w:hAnsi="宋体" w:cs="宋体"/>
          <w:color w:val="auto"/>
          <w:szCs w:val="21"/>
          <w:u w:val="single"/>
        </w:rPr>
      </w:pPr>
      <w:r>
        <w:rPr>
          <w:rFonts w:hint="eastAsia" w:hAnsi="宋体" w:cs="宋体"/>
          <w:color w:val="auto"/>
          <w:szCs w:val="21"/>
        </w:rPr>
        <w:t xml:space="preserve">                              单位地址：</w:t>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ab/>
      </w:r>
      <w:r>
        <w:rPr>
          <w:rFonts w:hint="eastAsia" w:hAnsi="宋体" w:cs="宋体"/>
          <w:color w:val="auto"/>
          <w:szCs w:val="21"/>
          <w:u w:val="single"/>
        </w:rPr>
        <w:t xml:space="preserve">      </w:t>
      </w:r>
    </w:p>
    <w:p>
      <w:pPr>
        <w:pStyle w:val="12"/>
        <w:tabs>
          <w:tab w:val="left" w:pos="5580"/>
        </w:tabs>
        <w:spacing w:line="360" w:lineRule="auto"/>
        <w:ind w:firstLine="420" w:firstLineChars="200"/>
        <w:jc w:val="left"/>
        <w:rPr>
          <w:rFonts w:hAnsi="宋体" w:cs="宋体"/>
          <w:color w:val="auto"/>
          <w:szCs w:val="21"/>
          <w:u w:val="single"/>
        </w:rPr>
      </w:pPr>
      <w:r>
        <w:rPr>
          <w:rFonts w:hint="eastAsia" w:hAnsi="宋体" w:cs="宋体"/>
          <w:color w:val="auto"/>
          <w:szCs w:val="21"/>
        </w:rPr>
        <w:t xml:space="preserve">                法定代表人或执行事务合伙人</w:t>
      </w:r>
      <w:r>
        <w:rPr>
          <w:rFonts w:hint="eastAsia" w:hAnsi="宋体" w:cs="宋体"/>
          <w:color w:val="auto"/>
          <w:szCs w:val="21"/>
          <w:lang w:val="en-US" w:eastAsia="zh-CN"/>
        </w:rPr>
        <w:t>或委托代理人</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val="en-US" w:eastAsia="zh-CN"/>
        </w:rPr>
        <w:t>签字或</w:t>
      </w:r>
      <w:r>
        <w:rPr>
          <w:rFonts w:hint="eastAsia" w:hAnsi="宋体" w:cs="宋体"/>
          <w:color w:val="auto"/>
          <w:szCs w:val="21"/>
          <w:u w:val="single"/>
        </w:rPr>
        <w:t>盖章）</w:t>
      </w:r>
    </w:p>
    <w:p>
      <w:pPr>
        <w:pStyle w:val="12"/>
        <w:tabs>
          <w:tab w:val="left" w:pos="5580"/>
        </w:tabs>
        <w:spacing w:line="360" w:lineRule="auto"/>
        <w:ind w:firstLine="420" w:firstLineChars="200"/>
        <w:rPr>
          <w:rFonts w:hAnsi="宋体" w:cs="宋体"/>
          <w:color w:val="auto"/>
          <w:szCs w:val="21"/>
          <w:u w:val="single"/>
        </w:rPr>
      </w:pPr>
    </w:p>
    <w:p>
      <w:pPr>
        <w:pStyle w:val="12"/>
        <w:tabs>
          <w:tab w:val="left" w:pos="5580"/>
        </w:tabs>
        <w:spacing w:line="360" w:lineRule="auto"/>
        <w:ind w:firstLine="3570" w:firstLineChars="1700"/>
        <w:rPr>
          <w:rFonts w:hAnsi="宋体" w:cs="宋体"/>
          <w:color w:val="auto"/>
          <w:szCs w:val="21"/>
        </w:rPr>
      </w:pPr>
      <w:r>
        <w:rPr>
          <w:rFonts w:hint="eastAsia" w:hAnsi="宋体" w:cs="宋体"/>
          <w:color w:val="auto"/>
          <w:szCs w:val="21"/>
        </w:rPr>
        <w:t>日期：          年      月      日</w:t>
      </w: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pStyle w:val="23"/>
        <w:rPr>
          <w:rFonts w:ascii="宋体" w:hAnsi="宋体" w:cs="宋体"/>
          <w:color w:val="auto"/>
          <w:sz w:val="24"/>
        </w:rPr>
      </w:pPr>
    </w:p>
    <w:p>
      <w:pPr>
        <w:pStyle w:val="23"/>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ind w:firstLine="480" w:firstLineChars="200"/>
        <w:jc w:val="center"/>
        <w:rPr>
          <w:rFonts w:ascii="宋体" w:hAnsi="宋体" w:cs="宋体"/>
          <w:color w:val="auto"/>
          <w:sz w:val="24"/>
        </w:rPr>
      </w:pPr>
    </w:p>
    <w:p>
      <w:pPr>
        <w:spacing w:line="360" w:lineRule="auto"/>
        <w:rPr>
          <w:rFonts w:ascii="宋体" w:hAnsi="宋体" w:cs="宋体"/>
          <w:color w:val="auto"/>
          <w:sz w:val="24"/>
        </w:rPr>
      </w:pPr>
    </w:p>
    <w:p>
      <w:pPr>
        <w:pStyle w:val="7"/>
        <w:jc w:val="center"/>
        <w:rPr>
          <w:rFonts w:hAnsi="宋体" w:cs="宋体"/>
          <w:color w:val="auto"/>
        </w:rPr>
      </w:pPr>
      <w:bookmarkStart w:id="44" w:name="_Toc12161"/>
      <w:bookmarkStart w:id="45" w:name="_Toc7098"/>
      <w:bookmarkStart w:id="46" w:name="_Toc54939202"/>
      <w:r>
        <w:rPr>
          <w:rFonts w:hint="eastAsia" w:hAnsi="宋体" w:cs="宋体"/>
          <w:color w:val="auto"/>
        </w:rPr>
        <w:t>二、</w:t>
      </w:r>
      <w:bookmarkEnd w:id="44"/>
      <w:r>
        <w:rPr>
          <w:rFonts w:hint="eastAsia" w:hAnsi="宋体" w:cs="宋体"/>
          <w:color w:val="auto"/>
        </w:rPr>
        <w:t>服务报价表(首轮)</w:t>
      </w:r>
      <w:bookmarkEnd w:id="45"/>
      <w:bookmarkEnd w:id="46"/>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CG-AZ-2021-016</w:t>
      </w:r>
      <w:r>
        <w:rPr>
          <w:rFonts w:hint="eastAsia" w:ascii="宋体" w:hAnsi="宋体" w:cs="宋体"/>
          <w:color w:val="auto"/>
          <w:szCs w:val="21"/>
        </w:rPr>
        <w:t xml:space="preserve">  </w:t>
      </w:r>
    </w:p>
    <w:p>
      <w:pPr>
        <w:spacing w:line="360" w:lineRule="auto"/>
        <w:rPr>
          <w:rFonts w:ascii="宋体" w:hAnsi="宋体"/>
          <w:szCs w:val="21"/>
        </w:rPr>
      </w:pPr>
      <w:r>
        <w:rPr>
          <w:rFonts w:hint="eastAsia" w:ascii="宋体" w:hAnsi="宋体" w:cs="宋体"/>
          <w:color w:val="auto"/>
          <w:szCs w:val="21"/>
        </w:rPr>
        <w:t>项目编号：</w:t>
      </w:r>
      <w:r>
        <w:rPr>
          <w:rFonts w:hint="eastAsia" w:ascii="宋体" w:hAnsi="宋体" w:cs="宋体"/>
          <w:color w:val="auto"/>
          <w:szCs w:val="21"/>
          <w:lang w:eastAsia="zh-CN"/>
        </w:rPr>
        <w:t xml:space="preserve"> 安庆职业技术学院2021年度国有资产清查及专项审计业务第三方中介机构采购（二次）</w:t>
      </w:r>
      <w:r>
        <w:rPr>
          <w:rFonts w:hint="eastAsia" w:ascii="宋体" w:hAnsi="宋体" w:cs="宋体"/>
          <w:color w:val="auto"/>
          <w:szCs w:val="21"/>
        </w:rPr>
        <w:t xml:space="preserve">                                                        </w:t>
      </w:r>
      <w:r>
        <w:rPr>
          <w:rFonts w:hint="eastAsia" w:ascii="宋体" w:hAnsi="宋体"/>
          <w:szCs w:val="21"/>
        </w:rPr>
        <w:t xml:space="preserve">                                                            </w:t>
      </w:r>
    </w:p>
    <w:tbl>
      <w:tblPr>
        <w:tblStyle w:val="24"/>
        <w:tblW w:w="8941" w:type="dxa"/>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917"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657"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r>
              <w:rPr>
                <w:rFonts w:hint="eastAsia" w:ascii="宋体" w:hAnsi="宋体" w:cs="宋体"/>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rPr>
            </w:pPr>
            <w:r>
              <w:rPr>
                <w:rFonts w:hint="eastAsia" w:ascii="宋体" w:hAnsi="宋体"/>
                <w:szCs w:val="21"/>
              </w:rPr>
              <w:t>小写：           元</w:t>
            </w:r>
          </w:p>
        </w:tc>
      </w:tr>
    </w:tbl>
    <w:p>
      <w:pPr>
        <w:spacing w:line="360" w:lineRule="auto"/>
        <w:rPr>
          <w:rFonts w:ascii="宋体" w:hAnsi="宋体" w:cs="宋体"/>
          <w:color w:val="auto"/>
          <w:szCs w:val="21"/>
        </w:rPr>
      </w:pPr>
    </w:p>
    <w:p>
      <w:pPr>
        <w:spacing w:line="360" w:lineRule="auto"/>
        <w:rPr>
          <w:rFonts w:hint="default" w:ascii="宋体" w:hAnsi="宋体" w:cs="宋体"/>
          <w:b/>
          <w:bCs/>
          <w:color w:val="auto"/>
          <w:szCs w:val="21"/>
          <w:lang w:val="en-US"/>
        </w:rPr>
      </w:pPr>
      <w:r>
        <w:rPr>
          <w:rFonts w:hint="eastAsia" w:ascii="宋体" w:hAnsi="宋体" w:cs="宋体"/>
          <w:b/>
          <w:bCs/>
          <w:color w:val="auto"/>
          <w:szCs w:val="21"/>
        </w:rPr>
        <w:t>注：谈判响应人的报价应包含满足本次采购需求的所有费用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如服务项目细目不够，可自行添加。</w:t>
      </w: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2520" w:firstLineChars="1200"/>
        <w:jc w:val="left"/>
        <w:rPr>
          <w:rFonts w:ascii="宋体" w:hAnsi="宋体" w:cs="宋体"/>
          <w:color w:val="auto"/>
          <w:szCs w:val="21"/>
        </w:rPr>
      </w:pPr>
      <w:r>
        <w:rPr>
          <w:rFonts w:hint="eastAsia" w:ascii="宋体" w:hAnsi="宋体" w:cs="宋体"/>
          <w:color w:val="auto"/>
          <w:szCs w:val="21"/>
        </w:rPr>
        <w:t>法定代表人或执行事务合伙人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spacing w:line="360" w:lineRule="auto"/>
        <w:ind w:firstLine="3570" w:firstLineChars="1700"/>
        <w:rPr>
          <w:rFonts w:ascii="宋体" w:hAnsi="宋体" w:cs="宋体"/>
          <w:color w:val="auto"/>
          <w:szCs w:val="21"/>
        </w:rPr>
      </w:pPr>
    </w:p>
    <w:p>
      <w:pPr>
        <w:pStyle w:val="7"/>
        <w:jc w:val="center"/>
        <w:rPr>
          <w:rFonts w:hAnsi="宋体" w:cs="宋体"/>
          <w:color w:val="auto"/>
          <w:u w:val="single"/>
        </w:rPr>
      </w:pPr>
      <w:bookmarkStart w:id="47" w:name="_Toc10635"/>
      <w:bookmarkStart w:id="48" w:name="_Toc15489"/>
      <w:bookmarkStart w:id="49" w:name="_Toc54939203"/>
      <w:r>
        <w:rPr>
          <w:rFonts w:hint="eastAsia" w:hAnsi="宋体" w:cs="宋体"/>
          <w:color w:val="auto"/>
        </w:rPr>
        <w:t>最终报价表</w:t>
      </w:r>
      <w:bookmarkEnd w:id="47"/>
      <w:bookmarkEnd w:id="48"/>
      <w:bookmarkEnd w:id="49"/>
    </w:p>
    <w:p>
      <w:pPr>
        <w:spacing w:line="360" w:lineRule="auto"/>
        <w:rPr>
          <w:rFonts w:ascii="宋体" w:hAnsi="宋体" w:cs="宋体"/>
          <w:color w:val="auto"/>
          <w:sz w:val="24"/>
        </w:rPr>
      </w:pPr>
      <w:r>
        <w:rPr>
          <w:rFonts w:hint="eastAsia" w:ascii="宋体" w:hAnsi="宋体" w:cs="宋体"/>
          <w:color w:val="auto"/>
          <w:szCs w:val="21"/>
        </w:rPr>
        <w:t>项目名称：</w:t>
      </w:r>
      <w:r>
        <w:rPr>
          <w:rFonts w:hint="eastAsia" w:ascii="宋体" w:hAnsi="宋体" w:cs="宋体"/>
          <w:color w:val="auto"/>
          <w:kern w:val="0"/>
          <w:szCs w:val="21"/>
          <w:highlight w:val="none"/>
          <w:lang w:eastAsia="zh-CN"/>
        </w:rPr>
        <w:t>CG-AZ-2021-016</w:t>
      </w:r>
      <w:r>
        <w:rPr>
          <w:rFonts w:hint="eastAsia" w:ascii="宋体" w:hAnsi="宋体" w:cs="宋体"/>
          <w:color w:val="auto"/>
          <w:szCs w:val="21"/>
        </w:rPr>
        <w:t xml:space="preserve">  </w:t>
      </w:r>
    </w:p>
    <w:p>
      <w:pPr>
        <w:spacing w:line="360" w:lineRule="auto"/>
        <w:rPr>
          <w:rFonts w:ascii="宋体" w:hAnsi="宋体" w:cs="宋体"/>
          <w:color w:val="auto"/>
          <w:kern w:val="0"/>
          <w:sz w:val="24"/>
          <w:lang w:val="zh-CN"/>
        </w:rPr>
      </w:pPr>
      <w:r>
        <w:rPr>
          <w:rFonts w:hint="eastAsia" w:ascii="宋体" w:hAnsi="宋体" w:cs="宋体"/>
          <w:color w:val="auto"/>
          <w:szCs w:val="21"/>
        </w:rPr>
        <w:t>项目编号：</w:t>
      </w:r>
      <w:r>
        <w:rPr>
          <w:rFonts w:hint="eastAsia" w:ascii="宋体" w:hAnsi="宋体" w:cs="宋体"/>
          <w:color w:val="auto"/>
          <w:szCs w:val="21"/>
          <w:lang w:eastAsia="zh-CN"/>
        </w:rPr>
        <w:t>安庆职业技术学院2021年度国有资产清查及专项审计业务第三方中介机构采购（二次）</w:t>
      </w:r>
    </w:p>
    <w:p>
      <w:pPr>
        <w:spacing w:line="360" w:lineRule="auto"/>
        <w:ind w:firstLine="6090" w:firstLineChars="2900"/>
        <w:rPr>
          <w:rFonts w:ascii="宋体" w:hAnsi="宋体" w:cs="宋体"/>
          <w:color w:val="auto"/>
        </w:rPr>
      </w:pPr>
      <w:r>
        <w:rPr>
          <w:rFonts w:hint="eastAsia" w:ascii="宋体" w:hAnsi="宋体" w:cs="宋体"/>
          <w:color w:val="auto"/>
        </w:rPr>
        <w:t>金额单位：人民币（元）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color w:val="auto"/>
                <w:sz w:val="24"/>
              </w:rPr>
            </w:pPr>
            <w:r>
              <w:rPr>
                <w:rFonts w:hint="eastAsia" w:ascii="宋体" w:hAnsi="宋体" w:cs="宋体"/>
                <w:color w:val="auto"/>
                <w:sz w:val="24"/>
              </w:rPr>
              <w:t>最终报价</w:t>
            </w:r>
          </w:p>
        </w:tc>
        <w:tc>
          <w:tcPr>
            <w:tcW w:w="7507" w:type="dxa"/>
            <w:vAlign w:val="center"/>
          </w:tcPr>
          <w:p>
            <w:pPr>
              <w:wordWrap w:val="0"/>
              <w:spacing w:line="400" w:lineRule="exact"/>
              <w:rPr>
                <w:rFonts w:ascii="宋体" w:hAnsi="宋体" w:cs="宋体"/>
                <w:color w:val="auto"/>
                <w:sz w:val="24"/>
              </w:rPr>
            </w:pPr>
            <w:r>
              <w:rPr>
                <w:rFonts w:hint="eastAsia" w:ascii="宋体" w:hAnsi="宋体" w:cs="宋体"/>
                <w:color w:val="auto"/>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color w:val="auto"/>
                <w:sz w:val="24"/>
              </w:rPr>
            </w:pPr>
          </w:p>
        </w:tc>
        <w:tc>
          <w:tcPr>
            <w:tcW w:w="7507" w:type="dxa"/>
            <w:vAlign w:val="center"/>
          </w:tcPr>
          <w:p>
            <w:pPr>
              <w:wordWrap w:val="0"/>
              <w:rPr>
                <w:rFonts w:ascii="宋体" w:hAnsi="宋体" w:cs="宋体"/>
                <w:color w:val="auto"/>
                <w:sz w:val="24"/>
              </w:rPr>
            </w:pPr>
            <w:r>
              <w:rPr>
                <w:rFonts w:hint="eastAsia" w:ascii="宋体" w:hAnsi="宋体" w:cs="宋体"/>
                <w:color w:val="auto"/>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auto"/>
                <w:sz w:val="24"/>
              </w:rPr>
            </w:pPr>
            <w:r>
              <w:rPr>
                <w:rFonts w:hint="eastAsia" w:ascii="宋体" w:hAnsi="宋体" w:cs="宋体"/>
                <w:color w:val="auto"/>
                <w:sz w:val="24"/>
              </w:rPr>
              <w:t>服务期</w:t>
            </w:r>
          </w:p>
        </w:tc>
        <w:tc>
          <w:tcPr>
            <w:tcW w:w="7507" w:type="dxa"/>
            <w:vAlign w:val="center"/>
          </w:tcPr>
          <w:p>
            <w:pPr>
              <w:pStyle w:val="12"/>
              <w:tabs>
                <w:tab w:val="left" w:pos="5580"/>
              </w:tabs>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合同签订后</w:t>
            </w:r>
            <w:r>
              <w:rPr>
                <w:rFonts w:hint="eastAsia" w:ascii="宋体" w:hAnsi="宋体" w:eastAsia="宋体" w:cs="宋体"/>
                <w:color w:val="auto"/>
                <w:kern w:val="2"/>
                <w:sz w:val="24"/>
                <w:szCs w:val="24"/>
                <w:u w:val="single"/>
                <w:lang w:val="en-US" w:eastAsia="zh-CN" w:bidi="ar-SA"/>
              </w:rPr>
              <w:t xml:space="preserve">   </w:t>
            </w:r>
            <w:r>
              <w:rPr>
                <w:rFonts w:hint="eastAsia" w:hAnsi="宋体" w:cs="宋体"/>
                <w:color w:val="auto"/>
                <w:kern w:val="2"/>
                <w:sz w:val="24"/>
                <w:szCs w:val="24"/>
                <w:u w:val="none"/>
                <w:lang w:val="en-US" w:eastAsia="zh-CN" w:bidi="ar-SA"/>
              </w:rPr>
              <w:t>个</w:t>
            </w:r>
            <w:r>
              <w:rPr>
                <w:rFonts w:hint="eastAsia" w:ascii="宋体" w:hAnsi="宋体" w:eastAsia="宋体" w:cs="宋体"/>
                <w:color w:val="auto"/>
                <w:kern w:val="2"/>
                <w:sz w:val="24"/>
                <w:szCs w:val="24"/>
                <w:lang w:val="en-US" w:eastAsia="zh-CN" w:bidi="ar-SA"/>
              </w:rPr>
              <w:t>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color w:val="auto"/>
                <w:sz w:val="24"/>
              </w:rPr>
            </w:pPr>
            <w:r>
              <w:rPr>
                <w:rFonts w:hint="eastAsia" w:ascii="宋体" w:hAnsi="宋体" w:cs="宋体"/>
                <w:color w:val="auto"/>
                <w:sz w:val="24"/>
              </w:rPr>
              <w:t>备注：</w:t>
            </w:r>
          </w:p>
          <w:p>
            <w:pPr>
              <w:spacing w:line="400" w:lineRule="exact"/>
              <w:rPr>
                <w:rFonts w:ascii="宋体" w:hAnsi="宋体" w:cs="宋体"/>
                <w:color w:val="auto"/>
                <w:sz w:val="24"/>
              </w:rPr>
            </w:pPr>
            <w:r>
              <w:rPr>
                <w:rFonts w:hint="eastAsia" w:ascii="宋体" w:hAnsi="宋体" w:cs="宋体"/>
                <w:color w:val="auto"/>
                <w:sz w:val="24"/>
              </w:rPr>
              <w:t>1、分项报价按总报价的同等比例下浮；</w:t>
            </w:r>
          </w:p>
          <w:p>
            <w:pPr>
              <w:spacing w:line="400" w:lineRule="exact"/>
              <w:rPr>
                <w:rFonts w:ascii="宋体" w:hAnsi="宋体" w:cs="宋体"/>
                <w:color w:val="auto"/>
                <w:sz w:val="24"/>
              </w:rPr>
            </w:pPr>
            <w:r>
              <w:rPr>
                <w:rFonts w:hint="eastAsia" w:ascii="宋体" w:hAnsi="宋体" w:cs="宋体"/>
                <w:color w:val="auto"/>
                <w:sz w:val="24"/>
              </w:rPr>
              <w:t>2、最终报价保留两位小数，小数点后第三位四舍五入。</w:t>
            </w:r>
          </w:p>
        </w:tc>
      </w:tr>
    </w:tbl>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注：此表请各谈判响应人多准备几份，并加盖谈判响应人公章及法定代表人或执行事务合伙人或委托代理人</w:t>
      </w:r>
      <w:r>
        <w:rPr>
          <w:rFonts w:hint="eastAsia" w:ascii="宋体" w:hAnsi="宋体" w:cs="宋体"/>
          <w:b/>
          <w:color w:val="auto"/>
          <w:sz w:val="24"/>
          <w:lang w:val="en-US" w:eastAsia="zh-CN"/>
        </w:rPr>
        <w:t>签字或盖</w:t>
      </w:r>
      <w:r>
        <w:rPr>
          <w:rFonts w:hint="eastAsia" w:ascii="宋体" w:hAnsi="宋体" w:cs="宋体"/>
          <w:b/>
          <w:color w:val="auto"/>
          <w:sz w:val="24"/>
        </w:rPr>
        <w:t>章，以便在谈判最终报价时使用。（此表由谈判响应人谈判现场递交）</w:t>
      </w:r>
    </w:p>
    <w:p>
      <w:pPr>
        <w:spacing w:line="360" w:lineRule="auto"/>
        <w:ind w:firstLine="3465" w:firstLineChars="1650"/>
        <w:rPr>
          <w:rFonts w:ascii="宋体" w:hAnsi="宋体" w:cs="宋体"/>
          <w:color w:val="auto"/>
          <w:szCs w:val="21"/>
        </w:rPr>
      </w:pPr>
    </w:p>
    <w:p>
      <w:pPr>
        <w:spacing w:line="360" w:lineRule="auto"/>
        <w:ind w:firstLine="3465" w:firstLineChars="1650"/>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3561" w:firstLineChars="1696"/>
        <w:rPr>
          <w:rFonts w:ascii="宋体" w:hAnsi="宋体" w:cs="宋体"/>
          <w:color w:val="auto"/>
          <w:szCs w:val="21"/>
        </w:rPr>
      </w:pPr>
    </w:p>
    <w:p>
      <w:pPr>
        <w:spacing w:line="360" w:lineRule="auto"/>
        <w:ind w:firstLine="1890" w:firstLineChars="900"/>
        <w:rPr>
          <w:rFonts w:ascii="宋体" w:hAnsi="宋体" w:cs="宋体"/>
          <w:color w:val="auto"/>
          <w:szCs w:val="21"/>
        </w:rPr>
      </w:pPr>
      <w:r>
        <w:rPr>
          <w:rFonts w:hint="eastAsia" w:ascii="宋体" w:hAnsi="宋体" w:cs="宋体"/>
          <w:color w:val="auto"/>
          <w:szCs w:val="21"/>
        </w:rPr>
        <w:t>法定代表人或执行事务合伙人或委托代理人：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7"/>
        <w:jc w:val="center"/>
        <w:rPr>
          <w:rFonts w:hAnsi="宋体" w:cs="宋体"/>
          <w:color w:val="auto"/>
        </w:rPr>
      </w:pPr>
      <w:bookmarkStart w:id="50" w:name="_Toc28153"/>
      <w:bookmarkStart w:id="51" w:name="_Toc54939204"/>
      <w:r>
        <w:rPr>
          <w:rFonts w:hint="eastAsia" w:hAnsi="宋体" w:cs="宋体"/>
          <w:color w:val="auto"/>
        </w:rPr>
        <w:t>三、</w:t>
      </w:r>
      <w:bookmarkEnd w:id="50"/>
      <w:bookmarkStart w:id="52" w:name="_Toc25208"/>
      <w:r>
        <w:rPr>
          <w:rFonts w:hint="eastAsia" w:hAnsi="宋体" w:cs="宋体"/>
          <w:color w:val="auto"/>
        </w:rPr>
        <w:t>服务内容及质量要求响应表</w:t>
      </w:r>
      <w:bookmarkEnd w:id="51"/>
      <w:bookmarkEnd w:id="52"/>
    </w:p>
    <w:p>
      <w:pPr>
        <w:spacing w:line="360" w:lineRule="auto"/>
        <w:rPr>
          <w:rFonts w:hint="eastAsia" w:ascii="宋体" w:hAnsi="宋体" w:eastAsia="宋体" w:cs="宋体"/>
          <w:b/>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安庆职业技术学院2021年度国有资产清查及专项审计业务第三方中介机构采购（二次）</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000" w:type="dxa"/>
            <w:vAlign w:val="center"/>
          </w:tcPr>
          <w:p>
            <w:pPr>
              <w:spacing w:line="360" w:lineRule="auto"/>
              <w:jc w:val="center"/>
              <w:rPr>
                <w:rFonts w:ascii="宋体" w:hAnsi="宋体" w:cs="宋体"/>
                <w:szCs w:val="21"/>
              </w:rPr>
            </w:pPr>
            <w:r>
              <w:rPr>
                <w:rFonts w:hint="eastAsia" w:ascii="宋体" w:hAnsi="宋体" w:cs="宋体"/>
                <w:szCs w:val="21"/>
              </w:rPr>
              <w:t>响应服务内容质量要求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tabs>
          <w:tab w:val="left" w:pos="1815"/>
        </w:tabs>
        <w:spacing w:line="360" w:lineRule="auto"/>
        <w:ind w:firstLine="413" w:firstLineChars="196"/>
        <w:rPr>
          <w:rFonts w:ascii="宋体" w:hAnsi="宋体" w:cs="宋体"/>
          <w:b/>
          <w:szCs w:val="21"/>
        </w:rPr>
      </w:pPr>
      <w:r>
        <w:rPr>
          <w:rFonts w:hint="eastAsia" w:ascii="宋体" w:hAnsi="宋体" w:cs="宋体"/>
          <w:b/>
          <w:szCs w:val="21"/>
        </w:rPr>
        <w:t>注：</w:t>
      </w:r>
    </w:p>
    <w:p>
      <w:pPr>
        <w:tabs>
          <w:tab w:val="left" w:pos="1815"/>
        </w:tabs>
        <w:spacing w:line="360" w:lineRule="auto"/>
        <w:ind w:firstLine="411" w:firstLineChars="196"/>
        <w:rPr>
          <w:rFonts w:ascii="宋体" w:hAnsi="宋体" w:cs="宋体"/>
          <w:szCs w:val="21"/>
        </w:rPr>
      </w:pPr>
      <w:r>
        <w:rPr>
          <w:rFonts w:hint="eastAsia" w:ascii="宋体" w:hAnsi="宋体" w:cs="宋体"/>
          <w:szCs w:val="21"/>
        </w:rPr>
        <w:t>1、谈判响应人必须将自己所投服务真实、准确地填入以上表格中。</w:t>
      </w:r>
    </w:p>
    <w:p>
      <w:pPr>
        <w:tabs>
          <w:tab w:val="left" w:pos="1815"/>
        </w:tabs>
        <w:spacing w:line="360" w:lineRule="auto"/>
        <w:ind w:left="1" w:firstLine="417" w:firstLineChars="199"/>
        <w:rPr>
          <w:rFonts w:ascii="宋体" w:hAnsi="宋体" w:cs="宋体"/>
          <w:szCs w:val="21"/>
        </w:rPr>
      </w:pPr>
      <w:r>
        <w:rPr>
          <w:rFonts w:hint="eastAsia" w:ascii="宋体" w:hAnsi="宋体" w:cs="宋体"/>
          <w:szCs w:val="21"/>
        </w:rPr>
        <w:t>2、谈判响应人必须根据自己所投服务与“服务需求及技术要求”的差异情况，实事求是地填写“响应情况”（优于、满足、不满足） 。</w:t>
      </w:r>
    </w:p>
    <w:p>
      <w:pPr>
        <w:spacing w:line="360" w:lineRule="auto"/>
        <w:ind w:firstLine="3561" w:firstLineChars="1696"/>
        <w:rPr>
          <w:rFonts w:hint="eastAsia" w:ascii="宋体" w:hAnsi="宋体" w:cs="宋体"/>
          <w:color w:val="auto"/>
          <w:szCs w:val="21"/>
        </w:rPr>
      </w:pPr>
    </w:p>
    <w:p>
      <w:pPr>
        <w:spacing w:line="360" w:lineRule="auto"/>
        <w:ind w:firstLine="3561" w:firstLineChars="1696"/>
        <w:rPr>
          <w:rFonts w:ascii="宋体" w:hAnsi="宋体" w:cs="宋体"/>
          <w:color w:val="auto"/>
          <w:szCs w:val="21"/>
        </w:rPr>
      </w:pPr>
      <w:r>
        <w:rPr>
          <w:rFonts w:hint="eastAsia" w:ascii="宋体" w:hAnsi="宋体" w:cs="宋体"/>
          <w:color w:val="auto"/>
          <w:szCs w:val="21"/>
        </w:rPr>
        <w:t>谈判响应人：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firstLine="1470" w:firstLineChars="700"/>
        <w:rPr>
          <w:rFonts w:ascii="宋体" w:hAnsi="宋体" w:cs="宋体"/>
          <w:color w:val="auto"/>
          <w:szCs w:val="21"/>
        </w:rPr>
      </w:pPr>
      <w:r>
        <w:rPr>
          <w:rFonts w:hint="eastAsia" w:ascii="宋体" w:hAnsi="宋体" w:cs="宋体"/>
          <w:color w:val="auto"/>
          <w:szCs w:val="21"/>
        </w:rPr>
        <w:t>法定代表人或执行事务合伙人或委托代理人：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570" w:firstLineChars="17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widowControl/>
        <w:jc w:val="left"/>
        <w:rPr>
          <w:rFonts w:ascii="宋体" w:hAnsi="宋体" w:cs="宋体"/>
          <w:color w:val="auto"/>
          <w:szCs w:val="21"/>
        </w:rPr>
      </w:pPr>
      <w:r>
        <w:rPr>
          <w:rFonts w:ascii="宋体" w:hAnsi="宋体" w:cs="宋体"/>
          <w:color w:val="auto"/>
          <w:szCs w:val="21"/>
        </w:rPr>
        <w:br w:type="page"/>
      </w:r>
    </w:p>
    <w:p>
      <w:pPr>
        <w:pStyle w:val="7"/>
        <w:jc w:val="center"/>
        <w:rPr>
          <w:rFonts w:hAnsi="宋体" w:cs="宋体"/>
          <w:color w:val="auto"/>
          <w:bdr w:val="single" w:color="auto" w:sz="4" w:space="0"/>
        </w:rPr>
      </w:pPr>
      <w:bookmarkStart w:id="53" w:name="_Toc2920"/>
      <w:bookmarkStart w:id="54" w:name="_Toc8668"/>
      <w:bookmarkStart w:id="55" w:name="_Toc54939205"/>
      <w:r>
        <w:rPr>
          <w:rFonts w:hint="eastAsia" w:hAnsi="宋体" w:cs="宋体"/>
          <w:color w:val="auto"/>
        </w:rPr>
        <w:t>四、</w:t>
      </w:r>
      <w:bookmarkEnd w:id="53"/>
      <w:r>
        <w:rPr>
          <w:rFonts w:hint="eastAsia" w:hAnsi="宋体" w:cs="宋体"/>
          <w:color w:val="auto"/>
        </w:rPr>
        <w:t>服务方案</w:t>
      </w:r>
      <w:bookmarkEnd w:id="54"/>
      <w:bookmarkEnd w:id="55"/>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谈判响应人依据第三章“服务需求及技术要求”自行提供。</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1、服务方案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2、人员培训方案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3、服务保证及服务承诺</w:t>
      </w:r>
    </w:p>
    <w:p>
      <w:pPr>
        <w:spacing w:line="360" w:lineRule="auto"/>
        <w:ind w:firstLine="420" w:firstLineChars="200"/>
        <w:rPr>
          <w:rFonts w:ascii="宋体" w:hAnsi="宋体" w:cs="宋体"/>
          <w:color w:val="auto"/>
          <w:spacing w:val="-4"/>
          <w:kern w:val="0"/>
          <w:szCs w:val="21"/>
        </w:rPr>
      </w:pPr>
      <w:r>
        <w:rPr>
          <w:rFonts w:hint="eastAsia" w:ascii="宋体" w:hAnsi="宋体" w:cs="宋体"/>
          <w:color w:val="auto"/>
          <w:szCs w:val="21"/>
        </w:rPr>
        <w:t>4、谈判响应人认为需要提供的其他资料</w:t>
      </w:r>
    </w:p>
    <w:p>
      <w:pPr>
        <w:spacing w:line="360" w:lineRule="auto"/>
        <w:ind w:firstLine="420" w:firstLineChars="200"/>
        <w:rPr>
          <w:rFonts w:ascii="宋体" w:hAnsi="宋体" w:cs="宋体"/>
          <w:color w:val="auto"/>
          <w:szCs w:val="21"/>
        </w:rPr>
      </w:pPr>
    </w:p>
    <w:p>
      <w:pPr>
        <w:spacing w:line="360" w:lineRule="auto"/>
        <w:ind w:firstLine="404" w:firstLineChars="200"/>
        <w:rPr>
          <w:rFonts w:ascii="宋体" w:hAnsi="宋体" w:cs="宋体"/>
          <w:color w:val="auto"/>
          <w:spacing w:val="-4"/>
          <w:kern w:val="0"/>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pStyle w:val="7"/>
        <w:jc w:val="center"/>
        <w:rPr>
          <w:rFonts w:hAnsi="宋体" w:cs="宋体"/>
          <w:color w:val="auto"/>
        </w:rPr>
      </w:pPr>
      <w:bookmarkStart w:id="56" w:name="_Toc25547"/>
      <w:bookmarkStart w:id="57" w:name="_Toc54939206"/>
      <w:r>
        <w:rPr>
          <w:rFonts w:hint="eastAsia" w:hAnsi="宋体" w:cs="宋体"/>
          <w:color w:val="auto"/>
        </w:rPr>
        <w:t>五、诚信谈判响应承诺书</w:t>
      </w:r>
      <w:bookmarkEnd w:id="56"/>
      <w:bookmarkEnd w:id="57"/>
    </w:p>
    <w:p>
      <w:pPr>
        <w:rPr>
          <w:rFonts w:ascii="宋体" w:hAnsi="宋体" w:cs="宋体"/>
          <w:b/>
          <w:bCs/>
          <w:color w:val="auto"/>
          <w:sz w:val="24"/>
        </w:rPr>
      </w:pP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本人以企业法定代表人或执行事务合伙人的身份郑重承诺：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一、将遵循公开、公正和诚实信用的原则自愿参加</w:t>
      </w:r>
      <w:r>
        <w:rPr>
          <w:rFonts w:hint="eastAsia" w:ascii="宋体" w:hAnsi="宋体" w:cs="宋体"/>
          <w:b/>
          <w:bCs/>
          <w:color w:val="auto"/>
          <w:szCs w:val="21"/>
          <w:u w:val="single"/>
        </w:rPr>
        <w:t xml:space="preserve">                </w:t>
      </w:r>
      <w:r>
        <w:rPr>
          <w:rFonts w:hint="eastAsia" w:ascii="宋体" w:hAnsi="宋体" w:cs="宋体"/>
          <w:b/>
          <w:bCs/>
          <w:color w:val="auto"/>
          <w:szCs w:val="21"/>
        </w:rPr>
        <w:t>项目的竞争性谈判活动；</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二、所提供的一切材料都是真实、有效、合法的；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六、严格遵守开标现场纪律，服从监管人员管理；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七、保证成交后不转包，若有合法分包征得采购人同意；</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八、保证成交之后，按照谈判响应文件承诺提供货物、服务及派驻人员；</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九、保证企业及所属相关人员在本次谈判响应中无行贿等犯罪行为；</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十、我单位</w:t>
      </w:r>
      <w:r>
        <w:rPr>
          <w:rFonts w:hint="eastAsia" w:ascii="宋体" w:hAnsi="宋体" w:cs="宋体"/>
          <w:b/>
          <w:bCs/>
          <w:color w:val="auto"/>
          <w:szCs w:val="21"/>
          <w:lang w:val="en-US" w:eastAsia="zh-CN"/>
        </w:rPr>
        <w:t>投标文件中</w:t>
      </w:r>
      <w:r>
        <w:rPr>
          <w:rFonts w:hint="eastAsia" w:ascii="宋体" w:hAnsi="宋体" w:cs="宋体"/>
          <w:b/>
          <w:bCs/>
          <w:color w:val="auto"/>
          <w:szCs w:val="21"/>
        </w:rPr>
        <w:t>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 xml:space="preserve">十一、不恶意投诉，对本公司提供的投诉线索的真实性负责。 </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auto"/>
          <w:szCs w:val="21"/>
        </w:rPr>
      </w:pPr>
      <w:r>
        <w:rPr>
          <w:rFonts w:hint="eastAsia" w:ascii="宋体" w:hAnsi="宋体" w:cs="宋体"/>
          <w:b/>
          <w:bCs/>
          <w:color w:val="auto"/>
          <w:szCs w:val="21"/>
        </w:rPr>
        <w:t xml:space="preserve">  </w:t>
      </w:r>
    </w:p>
    <w:p>
      <w:pP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 xml:space="preserve">                                      谈判响应单位（盖章）：</w:t>
      </w:r>
    </w:p>
    <w:p>
      <w:pPr>
        <w:spacing w:line="360" w:lineRule="auto"/>
        <w:ind w:firstLine="2319" w:firstLineChars="1100"/>
        <w:jc w:val="left"/>
        <w:rPr>
          <w:rFonts w:ascii="宋体" w:hAnsi="宋体" w:cs="宋体"/>
          <w:b/>
          <w:bCs/>
          <w:color w:val="auto"/>
          <w:szCs w:val="21"/>
        </w:rPr>
      </w:pPr>
      <w:r>
        <w:rPr>
          <w:rFonts w:hint="eastAsia" w:ascii="宋体" w:hAnsi="宋体" w:cs="宋体"/>
          <w:b/>
          <w:bCs/>
          <w:color w:val="auto"/>
          <w:szCs w:val="21"/>
        </w:rPr>
        <w:t>法定代表人或执行事务合伙人或委托代理人：</w:t>
      </w:r>
      <w:r>
        <w:rPr>
          <w:rFonts w:hint="eastAsia" w:ascii="宋体" w:hAnsi="宋体" w:cs="宋体"/>
          <w:b/>
          <w:bCs/>
          <w:color w:val="auto"/>
          <w:szCs w:val="21"/>
          <w:u w:val="single"/>
        </w:rPr>
        <w:t xml:space="preserve">           </w:t>
      </w:r>
      <w:r>
        <w:rPr>
          <w:rFonts w:hint="eastAsia" w:ascii="宋体" w:hAnsi="宋体" w:cs="宋体"/>
          <w:b/>
          <w:bCs/>
          <w:color w:val="auto"/>
          <w:szCs w:val="21"/>
        </w:rPr>
        <w:t>（签字或盖章）</w:t>
      </w:r>
    </w:p>
    <w:p>
      <w:pPr>
        <w:jc w:val="center"/>
        <w:rPr>
          <w:rFonts w:ascii="宋体" w:hAnsi="宋体" w:cs="宋体"/>
          <w:b/>
          <w:bCs/>
          <w:color w:val="auto"/>
          <w:szCs w:val="21"/>
        </w:rPr>
      </w:pPr>
    </w:p>
    <w:p>
      <w:pPr>
        <w:jc w:val="right"/>
        <w:rPr>
          <w:rFonts w:ascii="宋体" w:hAnsi="宋体" w:cs="宋体"/>
          <w:b/>
          <w:bCs/>
          <w:color w:val="auto"/>
          <w:szCs w:val="21"/>
        </w:rPr>
      </w:pPr>
    </w:p>
    <w:p>
      <w:pPr>
        <w:ind w:right="480"/>
        <w:jc w:val="center"/>
        <w:rPr>
          <w:rFonts w:ascii="宋体" w:hAnsi="宋体" w:cs="宋体"/>
          <w:b/>
          <w:bCs/>
          <w:color w:val="auto"/>
          <w:sz w:val="24"/>
        </w:rPr>
      </w:pPr>
      <w:r>
        <w:rPr>
          <w:rFonts w:hint="eastAsia" w:ascii="宋体" w:hAnsi="宋体" w:cs="宋体"/>
          <w:b/>
          <w:bCs/>
          <w:color w:val="auto"/>
          <w:szCs w:val="21"/>
        </w:rPr>
        <w:t xml:space="preserve">                                               日期：_____年____月____日</w:t>
      </w:r>
      <w:bookmarkStart w:id="58" w:name="_Toc22272"/>
    </w:p>
    <w:p>
      <w:pPr>
        <w:widowControl/>
        <w:jc w:val="left"/>
        <w:rPr>
          <w:rFonts w:ascii="宋体" w:hAnsi="宋体" w:cs="宋体"/>
          <w:b/>
          <w:bCs/>
          <w:color w:val="auto"/>
          <w:sz w:val="24"/>
        </w:rPr>
      </w:pPr>
      <w:r>
        <w:rPr>
          <w:rFonts w:ascii="宋体" w:hAnsi="宋体" w:cs="宋体"/>
          <w:b/>
          <w:bCs/>
          <w:color w:val="auto"/>
          <w:sz w:val="24"/>
        </w:rPr>
        <w:br w:type="page"/>
      </w:r>
    </w:p>
    <w:p>
      <w:pPr>
        <w:pStyle w:val="7"/>
        <w:jc w:val="center"/>
        <w:rPr>
          <w:rFonts w:hAnsi="宋体" w:cs="宋体"/>
          <w:color w:val="auto"/>
          <w:bdr w:val="single" w:color="auto" w:sz="4" w:space="0"/>
        </w:rPr>
      </w:pPr>
      <w:bookmarkStart w:id="59" w:name="_Toc54939209"/>
      <w:r>
        <w:rPr>
          <w:rFonts w:hint="eastAsia" w:hAnsi="宋体" w:cs="宋体"/>
          <w:color w:val="auto"/>
          <w:lang w:val="en-US" w:eastAsia="zh-CN"/>
        </w:rPr>
        <w:t>六</w:t>
      </w:r>
      <w:r>
        <w:rPr>
          <w:rFonts w:hint="eastAsia" w:hAnsi="宋体" w:cs="宋体"/>
          <w:color w:val="auto"/>
        </w:rPr>
        <w:t>、资格证明文件</w:t>
      </w:r>
      <w:bookmarkEnd w:id="58"/>
      <w:bookmarkEnd w:id="59"/>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5"/>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文件中关于法定代表人或执行事务合伙人的要求事项可由分公司负责人代理。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、履行合同所必需的设备专业技术能力证明文件</w:t>
      </w:r>
      <w:r>
        <w:rPr>
          <w:rFonts w:hint="eastAsia" w:ascii="宋体" w:hAnsi="宋体" w:cs="宋体"/>
          <w:color w:val="000000"/>
          <w:szCs w:val="21"/>
          <w:lang w:eastAsia="zh-CN"/>
        </w:rPr>
        <w:t>（</w:t>
      </w:r>
      <w:r>
        <w:rPr>
          <w:rFonts w:hint="eastAsia" w:ascii="宋体" w:hAnsi="宋体" w:cs="宋体"/>
          <w:color w:val="000000"/>
          <w:szCs w:val="21"/>
          <w:lang w:val="en-US" w:eastAsia="zh-CN"/>
        </w:rPr>
        <w:t>由谈判响应人根据项目情况决定是否填写</w:t>
      </w:r>
      <w:r>
        <w:rPr>
          <w:rFonts w:hint="eastAsia" w:ascii="宋体" w:hAnsi="宋体" w:cs="宋体"/>
          <w:color w:val="000000"/>
          <w:szCs w:val="21"/>
          <w:lang w:eastAsia="zh-CN"/>
        </w:rPr>
        <w:t>）</w:t>
      </w:r>
      <w:r>
        <w:rPr>
          <w:rFonts w:hint="eastAsia" w:ascii="宋体" w:hAnsi="宋体" w:cs="宋体"/>
          <w:color w:val="000000"/>
          <w:szCs w:val="21"/>
        </w:rPr>
        <w:t>；</w:t>
      </w:r>
    </w:p>
    <w:p>
      <w:pPr>
        <w:spacing w:line="360" w:lineRule="auto"/>
        <w:rPr>
          <w:rFonts w:ascii="宋体" w:hAnsi="宋体" w:cs="宋体"/>
          <w:color w:val="auto"/>
          <w:szCs w:val="21"/>
        </w:rPr>
      </w:pPr>
      <w:r>
        <w:rPr>
          <w:rFonts w:hint="eastAsia" w:ascii="宋体" w:hAnsi="宋体" w:cs="宋体"/>
          <w:color w:val="auto"/>
          <w:szCs w:val="21"/>
        </w:rPr>
        <w:t>（1）服务于本项目的专业设备一览表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29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设备名称</w:t>
            </w:r>
          </w:p>
        </w:tc>
        <w:tc>
          <w:tcPr>
            <w:tcW w:w="145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购入时间</w:t>
            </w:r>
          </w:p>
        </w:tc>
        <w:tc>
          <w:tcPr>
            <w:tcW w:w="93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价值</w:t>
            </w:r>
          </w:p>
        </w:tc>
        <w:tc>
          <w:tcPr>
            <w:tcW w:w="87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数量</w:t>
            </w:r>
          </w:p>
        </w:tc>
        <w:tc>
          <w:tcPr>
            <w:tcW w:w="149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1504"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w:t>
            </w: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auto"/>
                <w:szCs w:val="21"/>
              </w:rPr>
            </w:pPr>
          </w:p>
        </w:tc>
        <w:tc>
          <w:tcPr>
            <w:tcW w:w="2292" w:type="dxa"/>
            <w:vAlign w:val="center"/>
          </w:tcPr>
          <w:p>
            <w:pPr>
              <w:spacing w:line="360" w:lineRule="auto"/>
              <w:ind w:firstLine="420" w:firstLineChars="200"/>
              <w:rPr>
                <w:rFonts w:ascii="宋体" w:hAnsi="宋体" w:cs="宋体"/>
                <w:color w:val="auto"/>
                <w:szCs w:val="21"/>
              </w:rPr>
            </w:pPr>
          </w:p>
        </w:tc>
        <w:tc>
          <w:tcPr>
            <w:tcW w:w="1453" w:type="dxa"/>
            <w:vAlign w:val="center"/>
          </w:tcPr>
          <w:p>
            <w:pPr>
              <w:spacing w:line="360" w:lineRule="auto"/>
              <w:ind w:firstLine="420" w:firstLineChars="200"/>
              <w:rPr>
                <w:rFonts w:ascii="宋体" w:hAnsi="宋体" w:cs="宋体"/>
                <w:color w:val="auto"/>
                <w:szCs w:val="21"/>
              </w:rPr>
            </w:pPr>
          </w:p>
        </w:tc>
        <w:tc>
          <w:tcPr>
            <w:tcW w:w="934" w:type="dxa"/>
            <w:vAlign w:val="center"/>
          </w:tcPr>
          <w:p>
            <w:pPr>
              <w:spacing w:line="360" w:lineRule="auto"/>
              <w:ind w:firstLine="420" w:firstLineChars="200"/>
              <w:rPr>
                <w:rFonts w:ascii="宋体" w:hAnsi="宋体" w:cs="宋体"/>
                <w:color w:val="auto"/>
                <w:szCs w:val="21"/>
              </w:rPr>
            </w:pPr>
          </w:p>
        </w:tc>
        <w:tc>
          <w:tcPr>
            <w:tcW w:w="878" w:type="dxa"/>
            <w:vAlign w:val="center"/>
          </w:tcPr>
          <w:p>
            <w:pPr>
              <w:spacing w:line="360" w:lineRule="auto"/>
              <w:ind w:firstLine="420" w:firstLineChars="200"/>
              <w:rPr>
                <w:rFonts w:ascii="宋体" w:hAnsi="宋体" w:cs="宋体"/>
                <w:color w:val="auto"/>
                <w:szCs w:val="21"/>
              </w:rPr>
            </w:pPr>
          </w:p>
        </w:tc>
        <w:tc>
          <w:tcPr>
            <w:tcW w:w="1495" w:type="dxa"/>
            <w:vAlign w:val="center"/>
          </w:tcPr>
          <w:p>
            <w:pPr>
              <w:spacing w:line="360" w:lineRule="auto"/>
              <w:ind w:firstLine="420" w:firstLineChars="200"/>
              <w:rPr>
                <w:rFonts w:ascii="宋体" w:hAnsi="宋体" w:cs="宋体"/>
                <w:color w:val="auto"/>
                <w:szCs w:val="21"/>
              </w:rPr>
            </w:pPr>
          </w:p>
        </w:tc>
        <w:tc>
          <w:tcPr>
            <w:tcW w:w="1504" w:type="dxa"/>
            <w:vAlign w:val="center"/>
          </w:tcPr>
          <w:p>
            <w:pPr>
              <w:spacing w:line="360" w:lineRule="auto"/>
              <w:ind w:firstLine="420" w:firstLineChars="200"/>
              <w:rPr>
                <w:rFonts w:ascii="宋体" w:hAnsi="宋体"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（2）服务本项目人员一览表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auto"/>
                <w:szCs w:val="21"/>
              </w:rPr>
            </w:pPr>
          </w:p>
        </w:tc>
        <w:tc>
          <w:tcPr>
            <w:tcW w:w="987"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名称</w:t>
            </w:r>
          </w:p>
        </w:tc>
        <w:tc>
          <w:tcPr>
            <w:tcW w:w="1974" w:type="dxa"/>
            <w:vAlign w:val="center"/>
          </w:tcPr>
          <w:p>
            <w:pPr>
              <w:spacing w:before="100" w:beforeAutospacing="1" w:after="100" w:afterAutospacing="1" w:line="360" w:lineRule="auto"/>
              <w:jc w:val="center"/>
              <w:rPr>
                <w:rFonts w:ascii="宋体" w:hAnsi="宋体" w:cs="宋体"/>
                <w:color w:val="auto"/>
                <w:szCs w:val="21"/>
              </w:rPr>
            </w:pPr>
            <w:r>
              <w:rPr>
                <w:rFonts w:hint="eastAsia" w:ascii="宋体" w:hAnsi="宋体" w:cs="宋体"/>
                <w:color w:val="auto"/>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auto"/>
                <w:szCs w:val="21"/>
              </w:rPr>
            </w:pPr>
            <w:r>
              <w:rPr>
                <w:rFonts w:hint="eastAsia" w:ascii="宋体" w:hAnsi="宋体" w:cs="宋体"/>
                <w:color w:val="auto"/>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auto"/>
                <w:szCs w:val="21"/>
              </w:rPr>
            </w:pPr>
            <w:r>
              <w:rPr>
                <w:rFonts w:hint="eastAsia" w:ascii="宋体" w:hAnsi="宋体" w:cs="宋体"/>
                <w:color w:val="auto"/>
                <w:szCs w:val="21"/>
              </w:rPr>
              <w:t>其他</w:t>
            </w: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auto"/>
                <w:szCs w:val="21"/>
              </w:rPr>
            </w:pPr>
          </w:p>
        </w:tc>
        <w:tc>
          <w:tcPr>
            <w:tcW w:w="1187"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185"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c>
          <w:tcPr>
            <w:tcW w:w="987" w:type="dxa"/>
          </w:tcPr>
          <w:p>
            <w:pPr>
              <w:spacing w:before="100" w:beforeAutospacing="1" w:after="100" w:afterAutospacing="1" w:line="360" w:lineRule="auto"/>
              <w:ind w:firstLine="420" w:firstLineChars="200"/>
              <w:rPr>
                <w:rFonts w:ascii="宋体" w:hAnsi="宋体" w:cs="宋体"/>
                <w:color w:val="auto"/>
                <w:szCs w:val="21"/>
              </w:rPr>
            </w:pPr>
          </w:p>
        </w:tc>
        <w:tc>
          <w:tcPr>
            <w:tcW w:w="1974" w:type="dxa"/>
          </w:tcPr>
          <w:p>
            <w:pPr>
              <w:spacing w:before="100" w:beforeAutospacing="1" w:after="100" w:afterAutospacing="1" w:line="360" w:lineRule="auto"/>
              <w:ind w:firstLine="420" w:firstLineChars="200"/>
              <w:rPr>
                <w:rFonts w:ascii="宋体" w:hAnsi="宋体" w:cs="宋体"/>
                <w:color w:val="auto"/>
                <w:szCs w:val="21"/>
              </w:rPr>
            </w:pPr>
          </w:p>
        </w:tc>
      </w:tr>
    </w:tbl>
    <w:p>
      <w:pPr>
        <w:numPr>
          <w:ilvl w:val="0"/>
          <w:numId w:val="0"/>
        </w:numPr>
        <w:spacing w:line="360" w:lineRule="auto"/>
        <w:ind w:firstLine="420" w:firstLineChars="200"/>
        <w:rPr>
          <w:rFonts w:hint="eastAsia" w:ascii="宋体" w:hAnsi="宋体" w:cs="宋体"/>
          <w:b w:val="0"/>
          <w:bCs/>
          <w:color w:val="auto"/>
          <w:kern w:val="0"/>
          <w:sz w:val="24"/>
          <w:szCs w:val="18"/>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本项目竞争性谈判文件中要求谈判响应人提供的其他资格条件证明材料。</w:t>
      </w:r>
    </w:p>
    <w:p>
      <w:pPr>
        <w:numPr>
          <w:ilvl w:val="0"/>
          <w:numId w:val="0"/>
        </w:numPr>
        <w:spacing w:line="360" w:lineRule="auto"/>
        <w:ind w:leftChars="200"/>
        <w:jc w:val="center"/>
        <w:rPr>
          <w:rFonts w:ascii="宋体" w:hAnsi="宋体" w:cs="宋体"/>
          <w:b/>
          <w:color w:val="auto"/>
          <w:kern w:val="0"/>
          <w:sz w:val="24"/>
          <w:szCs w:val="18"/>
        </w:rPr>
      </w:pPr>
      <w:r>
        <w:rPr>
          <w:rFonts w:hint="eastAsia" w:ascii="宋体" w:hAnsi="宋体" w:cs="宋体"/>
          <w:b w:val="0"/>
          <w:bCs/>
          <w:color w:val="auto"/>
          <w:kern w:val="0"/>
          <w:sz w:val="24"/>
          <w:szCs w:val="18"/>
          <w:lang w:val="en-US" w:eastAsia="zh-CN"/>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color w:val="auto"/>
          <w:kern w:val="0"/>
          <w:sz w:val="24"/>
          <w:szCs w:val="18"/>
          <w:lang w:val="en-US" w:eastAsia="zh-CN"/>
        </w:rPr>
        <w:t xml:space="preserve">                                </w:t>
      </w:r>
      <w:r>
        <w:rPr>
          <w:rFonts w:hint="eastAsia" w:ascii="宋体" w:hAnsi="宋体" w:cs="宋体"/>
          <w:b/>
          <w:color w:val="auto"/>
          <w:kern w:val="0"/>
          <w:sz w:val="24"/>
          <w:szCs w:val="18"/>
        </w:rPr>
        <w:t>声明</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cs="宋体"/>
          <w:color w:val="auto"/>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color w:val="auto"/>
          <w:szCs w:val="21"/>
        </w:rPr>
        <w:t>，包括：</w:t>
      </w:r>
    </w:p>
    <w:p>
      <w:pPr>
        <w:spacing w:line="360" w:lineRule="auto"/>
        <w:ind w:firstLine="420" w:firstLineChars="200"/>
        <w:rPr>
          <w:rFonts w:ascii="宋体" w:hAnsi="宋体" w:cs="宋体"/>
          <w:color w:val="auto"/>
          <w:szCs w:val="21"/>
        </w:rPr>
      </w:pPr>
      <w:r>
        <w:rPr>
          <w:rFonts w:hint="eastAsia" w:ascii="宋体" w:hAnsi="宋体" w:cs="宋体"/>
          <w:color w:val="auto"/>
          <w:szCs w:val="21"/>
        </w:rPr>
        <w:t>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rPr>
      </w:pPr>
      <w:r>
        <w:rPr>
          <w:rFonts w:hint="eastAsia" w:ascii="宋体" w:hAnsi="宋体" w:cs="宋体"/>
          <w:color w:val="auto"/>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谈判响应人名称（盖章）：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法定代表人或执行事务合伙人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 xml:space="preserve">盖章）：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日期：        年       月       日</w:t>
      </w:r>
    </w:p>
    <w:p>
      <w:pPr>
        <w:pStyle w:val="56"/>
        <w:numPr>
          <w:ilvl w:val="0"/>
          <w:numId w:val="0"/>
        </w:numPr>
        <w:spacing w:line="360" w:lineRule="auto"/>
        <w:ind w:left="420" w:leftChars="0"/>
        <w:rPr>
          <w:rFonts w:ascii="宋体" w:hAnsi="宋体"/>
          <w:b/>
          <w:szCs w:val="21"/>
        </w:rPr>
      </w:pPr>
      <w:r>
        <w:rPr>
          <w:rFonts w:hint="eastAsia" w:ascii="宋体" w:hAnsi="宋体" w:cs="宋体"/>
          <w:color w:val="auto"/>
          <w:szCs w:val="21"/>
          <w:lang w:val="en-US" w:eastAsia="zh-CN"/>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color w:val="auto"/>
          <w:szCs w:val="21"/>
          <w:lang w:val="en-US" w:eastAsia="zh-CN"/>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color w:val="auto"/>
          <w:szCs w:val="21"/>
        </w:rPr>
        <w:t>法定代表人或执行事务合伙人</w:t>
      </w:r>
      <w:r>
        <w:rPr>
          <w:rFonts w:hint="eastAsia" w:ascii="宋体" w:hAnsi="宋体" w:cs="宋体"/>
          <w:color w:val="auto"/>
          <w:szCs w:val="21"/>
          <w:lang w:val="en-US" w:eastAsia="zh-CN"/>
        </w:rPr>
        <w:t>或委托代理人</w:t>
      </w:r>
      <w:r>
        <w:rPr>
          <w:rFonts w:hint="eastAsia" w:ascii="宋体" w:hAnsi="宋体" w:cs="宋体"/>
          <w:color w:val="auto"/>
          <w:szCs w:val="21"/>
        </w:rPr>
        <w:t>（</w:t>
      </w:r>
      <w:r>
        <w:rPr>
          <w:rFonts w:hint="eastAsia" w:ascii="宋体" w:hAnsi="宋体" w:cs="宋体"/>
          <w:color w:val="auto"/>
          <w:szCs w:val="21"/>
          <w:lang w:val="en-US" w:eastAsia="zh-CN"/>
        </w:rPr>
        <w:t>签字或</w:t>
      </w:r>
      <w:r>
        <w:rPr>
          <w:rFonts w:hint="eastAsia" w:ascii="宋体" w:hAnsi="宋体" w:cs="宋体"/>
          <w:color w:val="auto"/>
          <w:szCs w:val="21"/>
        </w:rPr>
        <w:t>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hint="eastAsia" w:ascii="宋体" w:hAnsi="宋体" w:eastAsia="宋体" w:cs="宋体"/>
          <w:color w:val="auto"/>
          <w:szCs w:val="21"/>
          <w:lang w:val="en-US" w:eastAsia="zh-CN"/>
        </w:rPr>
      </w:pP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8、一个完整年度（2018年或2019年或2020年）财务会计报表；</w:t>
      </w:r>
    </w:p>
    <w:p>
      <w:pPr>
        <w:widowControl/>
        <w:spacing w:line="50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　　　如谈判响应人为新成立的供应商，请提供上一月度（或季度）财务会计报表</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highlight w:val="none"/>
        </w:rPr>
        <w:t>本项目竞争性谈判文件中要求谈判响应人提供的其他资格条件证明材料</w:t>
      </w:r>
    </w:p>
    <w:p>
      <w:pPr>
        <w:widowControl/>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须提供上述资格证明文件复印件或扫描件或影印件。</w:t>
      </w:r>
    </w:p>
    <w:p>
      <w:pPr>
        <w:widowControl/>
        <w:spacing w:line="500" w:lineRule="exact"/>
        <w:ind w:firstLine="420" w:firstLineChars="200"/>
        <w:jc w:val="left"/>
        <w:rPr>
          <w:rFonts w:hint="eastAsia" w:ascii="宋体" w:hAnsi="宋体" w:cs="宋体"/>
          <w:color w:val="auto"/>
          <w:szCs w:val="21"/>
        </w:rPr>
      </w:pPr>
    </w:p>
    <w:p>
      <w:pPr>
        <w:widowControl/>
        <w:spacing w:line="500" w:lineRule="exact"/>
        <w:ind w:firstLine="420" w:firstLineChars="200"/>
        <w:jc w:val="left"/>
        <w:rPr>
          <w:rFonts w:hint="eastAsia" w:ascii="宋体" w:hAnsi="宋体" w:cs="宋体"/>
          <w:color w:val="auto"/>
          <w:szCs w:val="21"/>
        </w:rPr>
      </w:pPr>
    </w:p>
    <w:p>
      <w:pPr>
        <w:pStyle w:val="2"/>
        <w:rPr>
          <w:rFonts w:hint="eastAsia"/>
        </w:rPr>
      </w:pPr>
    </w:p>
    <w:p>
      <w:pPr>
        <w:widowControl/>
        <w:spacing w:line="500" w:lineRule="exact"/>
        <w:ind w:firstLine="420" w:firstLineChars="200"/>
        <w:jc w:val="left"/>
        <w:rPr>
          <w:rFonts w:hint="eastAsia" w:ascii="宋体" w:hAnsi="宋体" w:cs="宋体"/>
          <w:color w:val="auto"/>
          <w:szCs w:val="21"/>
        </w:rPr>
      </w:pPr>
    </w:p>
    <w:p>
      <w:pPr>
        <w:spacing w:line="360" w:lineRule="auto"/>
        <w:jc w:val="left"/>
        <w:rPr>
          <w:rFonts w:ascii="宋体" w:hAnsi="宋体" w:cs="宋体"/>
          <w:b/>
          <w:color w:val="auto"/>
          <w:sz w:val="24"/>
        </w:rPr>
      </w:pPr>
      <w:r>
        <w:rPr>
          <w:rFonts w:hint="eastAsia" w:ascii="宋体" w:hAnsi="宋体" w:cs="宋体"/>
          <w:b/>
          <w:color w:val="auto"/>
          <w:sz w:val="24"/>
        </w:rPr>
        <w:t>附 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12"/>
        <w:snapToGrid w:val="0"/>
        <w:spacing w:line="360" w:lineRule="auto"/>
        <w:ind w:firstLine="480" w:firstLineChars="200"/>
        <w:jc w:val="left"/>
        <w:rPr>
          <w:rFonts w:hAnsi="宋体" w:eastAsia="宋体"/>
          <w:color w:val="auto"/>
          <w:sz w:val="24"/>
          <w:szCs w:val="28"/>
        </w:rPr>
      </w:pP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12"/>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12"/>
        <w:snapToGrid w:val="0"/>
        <w:spacing w:line="360" w:lineRule="auto"/>
        <w:ind w:firstLine="480" w:firstLineChars="200"/>
        <w:jc w:val="left"/>
        <w:rPr>
          <w:rFonts w:hAnsi="宋体" w:eastAsia="宋体"/>
          <w:color w:val="auto"/>
          <w:sz w:val="24"/>
        </w:rPr>
      </w:pPr>
    </w:p>
    <w:p>
      <w:pPr>
        <w:pStyle w:val="1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12"/>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12"/>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2.法定代表人或执行事务合伙人参加谈判的无需提供授权书，提供身份证明扫描件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p>
      <w:pPr>
        <w:wordWrap w:val="0"/>
        <w:spacing w:line="360" w:lineRule="auto"/>
        <w:ind w:right="480" w:firstLine="630" w:firstLineChars="300"/>
        <w:rPr>
          <w:rFonts w:ascii="宋体" w:hAnsi="宋体" w:cs="宋体"/>
          <w:color w:val="auto"/>
          <w:szCs w:val="21"/>
        </w:rPr>
      </w:pP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center"/>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28</w:t>
                </w:r>
                <w:r>
                  <w:rPr>
                    <w:rFonts w:hint="eastAsia"/>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0"/>
      <w:rPr>
        <w:rFonts w:hint="eastAsia" w:eastAsia="宋体"/>
        <w:szCs w:val="21"/>
        <w:lang w:eastAsia="zh-CN"/>
      </w:rPr>
    </w:pPr>
    <w:r>
      <w:rPr>
        <w:rFonts w:hint="eastAsia"/>
        <w:szCs w:val="21"/>
      </w:rPr>
      <w:t xml:space="preserve">                     </w:t>
    </w:r>
    <w:r>
      <w:rPr>
        <w:rFonts w:hint="eastAsia"/>
        <w:szCs w:val="21"/>
        <w:lang w:eastAsia="zh-CN"/>
      </w:rPr>
      <w:t>安庆职业技术学院2021年度国有资产清查及专项审计业务第三方中介机构采购（二次）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BBED0"/>
    <w:multiLevelType w:val="singleLevel"/>
    <w:tmpl w:val="55DBBED0"/>
    <w:lvl w:ilvl="0" w:tentative="0">
      <w:start w:val="1"/>
      <w:numFmt w:val="chineseCounting"/>
      <w:suff w:val="nothing"/>
      <w:lvlText w:val="%1、"/>
      <w:lvlJc w:val="left"/>
    </w:lvl>
  </w:abstractNum>
  <w:abstractNum w:abstractNumId="1">
    <w:nsid w:val="58D9DD69"/>
    <w:multiLevelType w:val="singleLevel"/>
    <w:tmpl w:val="58D9DD69"/>
    <w:lvl w:ilvl="0" w:tentative="0">
      <w:start w:val="3"/>
      <w:numFmt w:val="decimal"/>
      <w:suff w:val="nothing"/>
      <w:lvlText w:val="%1、"/>
      <w:lvlJc w:val="left"/>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90BEEFE"/>
    <w:multiLevelType w:val="singleLevel"/>
    <w:tmpl w:val="590BEEFE"/>
    <w:lvl w:ilvl="0" w:tentative="0">
      <w:start w:val="13"/>
      <w:numFmt w:val="decimal"/>
      <w:suff w:val="nothing"/>
      <w:lvlText w:val="%1、"/>
      <w:lvlJc w:val="left"/>
    </w:lvl>
  </w:abstractNum>
  <w:abstractNum w:abstractNumId="4">
    <w:nsid w:val="73AD5EDC"/>
    <w:multiLevelType w:val="singleLevel"/>
    <w:tmpl w:val="73AD5EDC"/>
    <w:lvl w:ilvl="0" w:tentative="0">
      <w:start w:val="4"/>
      <w:numFmt w:val="decimal"/>
      <w:suff w:val="nothing"/>
      <w:lvlText w:val="%1、"/>
      <w:lvlJc w:val="left"/>
      <w:pPr>
        <w:ind w:left="26"/>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4DB7"/>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D4687"/>
    <w:rsid w:val="013037ED"/>
    <w:rsid w:val="015667DB"/>
    <w:rsid w:val="018A44B4"/>
    <w:rsid w:val="01922DC9"/>
    <w:rsid w:val="019924DC"/>
    <w:rsid w:val="021A1EAD"/>
    <w:rsid w:val="02316790"/>
    <w:rsid w:val="023E4914"/>
    <w:rsid w:val="025A360B"/>
    <w:rsid w:val="02606320"/>
    <w:rsid w:val="0261360D"/>
    <w:rsid w:val="026F2CC5"/>
    <w:rsid w:val="02734C55"/>
    <w:rsid w:val="02CF50D6"/>
    <w:rsid w:val="02D57437"/>
    <w:rsid w:val="02E9052A"/>
    <w:rsid w:val="02F10E60"/>
    <w:rsid w:val="031778E3"/>
    <w:rsid w:val="03387229"/>
    <w:rsid w:val="03443A6F"/>
    <w:rsid w:val="036A4743"/>
    <w:rsid w:val="03724537"/>
    <w:rsid w:val="03851ED2"/>
    <w:rsid w:val="03A96165"/>
    <w:rsid w:val="03BA6EB5"/>
    <w:rsid w:val="03F44933"/>
    <w:rsid w:val="03F81C3F"/>
    <w:rsid w:val="04003528"/>
    <w:rsid w:val="04043AA5"/>
    <w:rsid w:val="041E7ACD"/>
    <w:rsid w:val="04201B8B"/>
    <w:rsid w:val="04245C53"/>
    <w:rsid w:val="042B3ED3"/>
    <w:rsid w:val="04375D33"/>
    <w:rsid w:val="04382BE0"/>
    <w:rsid w:val="043E7102"/>
    <w:rsid w:val="045E7194"/>
    <w:rsid w:val="047228B5"/>
    <w:rsid w:val="0477350E"/>
    <w:rsid w:val="04875DFF"/>
    <w:rsid w:val="048D42C4"/>
    <w:rsid w:val="0498643B"/>
    <w:rsid w:val="04A006E1"/>
    <w:rsid w:val="04B65E67"/>
    <w:rsid w:val="04CB32CC"/>
    <w:rsid w:val="04E50C1D"/>
    <w:rsid w:val="04FD4494"/>
    <w:rsid w:val="05090C12"/>
    <w:rsid w:val="051A65C3"/>
    <w:rsid w:val="05244A1E"/>
    <w:rsid w:val="052E1C9F"/>
    <w:rsid w:val="052E7D0D"/>
    <w:rsid w:val="0531200C"/>
    <w:rsid w:val="053E109C"/>
    <w:rsid w:val="054C6411"/>
    <w:rsid w:val="05A14822"/>
    <w:rsid w:val="05BD1AA1"/>
    <w:rsid w:val="05E002BE"/>
    <w:rsid w:val="05E35B59"/>
    <w:rsid w:val="05F35EB0"/>
    <w:rsid w:val="061652FD"/>
    <w:rsid w:val="062A51E1"/>
    <w:rsid w:val="063B4D88"/>
    <w:rsid w:val="06481AD4"/>
    <w:rsid w:val="06521913"/>
    <w:rsid w:val="06567772"/>
    <w:rsid w:val="06805122"/>
    <w:rsid w:val="069353D8"/>
    <w:rsid w:val="06952ADA"/>
    <w:rsid w:val="06A85231"/>
    <w:rsid w:val="06DC7F7E"/>
    <w:rsid w:val="06DF7532"/>
    <w:rsid w:val="06EA2345"/>
    <w:rsid w:val="06F36A08"/>
    <w:rsid w:val="06FB1E54"/>
    <w:rsid w:val="071B4038"/>
    <w:rsid w:val="072346B3"/>
    <w:rsid w:val="072940C2"/>
    <w:rsid w:val="07422C6F"/>
    <w:rsid w:val="075767A9"/>
    <w:rsid w:val="07632295"/>
    <w:rsid w:val="07655DB3"/>
    <w:rsid w:val="07686F0E"/>
    <w:rsid w:val="076E24E5"/>
    <w:rsid w:val="07AE4DBF"/>
    <w:rsid w:val="07AF4527"/>
    <w:rsid w:val="07DA0583"/>
    <w:rsid w:val="082703D3"/>
    <w:rsid w:val="082C2203"/>
    <w:rsid w:val="0838737A"/>
    <w:rsid w:val="08444D9F"/>
    <w:rsid w:val="08511F00"/>
    <w:rsid w:val="087A5C75"/>
    <w:rsid w:val="087F1843"/>
    <w:rsid w:val="088A4392"/>
    <w:rsid w:val="089935B7"/>
    <w:rsid w:val="08AA4743"/>
    <w:rsid w:val="08C46B8B"/>
    <w:rsid w:val="08D12404"/>
    <w:rsid w:val="08DA0D79"/>
    <w:rsid w:val="0927319F"/>
    <w:rsid w:val="092B3141"/>
    <w:rsid w:val="0934095B"/>
    <w:rsid w:val="096A724B"/>
    <w:rsid w:val="097517AF"/>
    <w:rsid w:val="097A7948"/>
    <w:rsid w:val="098C68F8"/>
    <w:rsid w:val="09AC4724"/>
    <w:rsid w:val="09B87F24"/>
    <w:rsid w:val="09CF3552"/>
    <w:rsid w:val="09D91397"/>
    <w:rsid w:val="09F95F96"/>
    <w:rsid w:val="09FA4F71"/>
    <w:rsid w:val="0A0334B3"/>
    <w:rsid w:val="0A0D26BB"/>
    <w:rsid w:val="0A3C1CA7"/>
    <w:rsid w:val="0A461924"/>
    <w:rsid w:val="0A4B61C6"/>
    <w:rsid w:val="0A602587"/>
    <w:rsid w:val="0A6C6C24"/>
    <w:rsid w:val="0A6D3720"/>
    <w:rsid w:val="0A901CC5"/>
    <w:rsid w:val="0A9D3F93"/>
    <w:rsid w:val="0AC577A0"/>
    <w:rsid w:val="0ACE4FC1"/>
    <w:rsid w:val="0ADF24D4"/>
    <w:rsid w:val="0B072024"/>
    <w:rsid w:val="0B0914F5"/>
    <w:rsid w:val="0B110D86"/>
    <w:rsid w:val="0B1C5187"/>
    <w:rsid w:val="0B220186"/>
    <w:rsid w:val="0B2916C2"/>
    <w:rsid w:val="0B2A07B0"/>
    <w:rsid w:val="0B332287"/>
    <w:rsid w:val="0B91761E"/>
    <w:rsid w:val="0BCA33E7"/>
    <w:rsid w:val="0BE77B0B"/>
    <w:rsid w:val="0C83295D"/>
    <w:rsid w:val="0C89471E"/>
    <w:rsid w:val="0CAB6BC7"/>
    <w:rsid w:val="0CAE5CFF"/>
    <w:rsid w:val="0CB52747"/>
    <w:rsid w:val="0CF3777B"/>
    <w:rsid w:val="0D072DFE"/>
    <w:rsid w:val="0D2152D7"/>
    <w:rsid w:val="0D3E4270"/>
    <w:rsid w:val="0D433013"/>
    <w:rsid w:val="0D494161"/>
    <w:rsid w:val="0D4F57E4"/>
    <w:rsid w:val="0D632F8F"/>
    <w:rsid w:val="0D6669BD"/>
    <w:rsid w:val="0D83482A"/>
    <w:rsid w:val="0D8664CA"/>
    <w:rsid w:val="0DC64678"/>
    <w:rsid w:val="0DCB05AE"/>
    <w:rsid w:val="0DD85F65"/>
    <w:rsid w:val="0DF70178"/>
    <w:rsid w:val="0DF94899"/>
    <w:rsid w:val="0DFA1324"/>
    <w:rsid w:val="0E32410D"/>
    <w:rsid w:val="0E487583"/>
    <w:rsid w:val="0E5D737E"/>
    <w:rsid w:val="0E9223D5"/>
    <w:rsid w:val="0E9A61EA"/>
    <w:rsid w:val="0EA86D69"/>
    <w:rsid w:val="0EB14180"/>
    <w:rsid w:val="0EBC4E69"/>
    <w:rsid w:val="0EDD408A"/>
    <w:rsid w:val="0EF64818"/>
    <w:rsid w:val="0EFB37A0"/>
    <w:rsid w:val="0F137FA4"/>
    <w:rsid w:val="0F2902E2"/>
    <w:rsid w:val="0F2B317B"/>
    <w:rsid w:val="0F3D389D"/>
    <w:rsid w:val="0F434292"/>
    <w:rsid w:val="0F8236D5"/>
    <w:rsid w:val="0FA65B55"/>
    <w:rsid w:val="0FC55235"/>
    <w:rsid w:val="0FD05E00"/>
    <w:rsid w:val="1009280B"/>
    <w:rsid w:val="100E134E"/>
    <w:rsid w:val="10231414"/>
    <w:rsid w:val="10264018"/>
    <w:rsid w:val="1050087E"/>
    <w:rsid w:val="10624555"/>
    <w:rsid w:val="107E4A72"/>
    <w:rsid w:val="10B15D93"/>
    <w:rsid w:val="10B2256F"/>
    <w:rsid w:val="10C17787"/>
    <w:rsid w:val="10C64A93"/>
    <w:rsid w:val="10DC68D5"/>
    <w:rsid w:val="112F2B2C"/>
    <w:rsid w:val="11355366"/>
    <w:rsid w:val="11675810"/>
    <w:rsid w:val="116A185D"/>
    <w:rsid w:val="11803EC2"/>
    <w:rsid w:val="11A03675"/>
    <w:rsid w:val="11A402E8"/>
    <w:rsid w:val="11AC730F"/>
    <w:rsid w:val="11BC1C1F"/>
    <w:rsid w:val="11BE5C5C"/>
    <w:rsid w:val="11C735A4"/>
    <w:rsid w:val="11CF1EF1"/>
    <w:rsid w:val="11EA2CE5"/>
    <w:rsid w:val="11F27F7D"/>
    <w:rsid w:val="11FA4215"/>
    <w:rsid w:val="121A40C0"/>
    <w:rsid w:val="12486B77"/>
    <w:rsid w:val="12633BA5"/>
    <w:rsid w:val="126D2AE8"/>
    <w:rsid w:val="12933A7D"/>
    <w:rsid w:val="12994AF8"/>
    <w:rsid w:val="12AE6B32"/>
    <w:rsid w:val="12C43EF0"/>
    <w:rsid w:val="12C4475B"/>
    <w:rsid w:val="12D6647C"/>
    <w:rsid w:val="12F81468"/>
    <w:rsid w:val="132B46CB"/>
    <w:rsid w:val="1347382D"/>
    <w:rsid w:val="13527A8F"/>
    <w:rsid w:val="135421F8"/>
    <w:rsid w:val="135C0074"/>
    <w:rsid w:val="13616BDF"/>
    <w:rsid w:val="13753967"/>
    <w:rsid w:val="1378024F"/>
    <w:rsid w:val="13A1080A"/>
    <w:rsid w:val="13A12C30"/>
    <w:rsid w:val="13DF2D80"/>
    <w:rsid w:val="13EB17D3"/>
    <w:rsid w:val="13FF717E"/>
    <w:rsid w:val="140C3B2C"/>
    <w:rsid w:val="142A4E08"/>
    <w:rsid w:val="143508EF"/>
    <w:rsid w:val="1457038F"/>
    <w:rsid w:val="145C6A1A"/>
    <w:rsid w:val="145D73C3"/>
    <w:rsid w:val="146A399F"/>
    <w:rsid w:val="146B3973"/>
    <w:rsid w:val="14C74C7C"/>
    <w:rsid w:val="14D8207C"/>
    <w:rsid w:val="14DA386A"/>
    <w:rsid w:val="14E42898"/>
    <w:rsid w:val="14F224D3"/>
    <w:rsid w:val="14F93C1E"/>
    <w:rsid w:val="15035A47"/>
    <w:rsid w:val="15073605"/>
    <w:rsid w:val="1516320B"/>
    <w:rsid w:val="151A5E3F"/>
    <w:rsid w:val="152A4236"/>
    <w:rsid w:val="155807CF"/>
    <w:rsid w:val="15786FC5"/>
    <w:rsid w:val="158546EC"/>
    <w:rsid w:val="15D34B8E"/>
    <w:rsid w:val="15E611B3"/>
    <w:rsid w:val="15F11A89"/>
    <w:rsid w:val="15FA4347"/>
    <w:rsid w:val="16135F43"/>
    <w:rsid w:val="162701DA"/>
    <w:rsid w:val="162B22EC"/>
    <w:rsid w:val="16484942"/>
    <w:rsid w:val="164C31F0"/>
    <w:rsid w:val="164D4538"/>
    <w:rsid w:val="164F190C"/>
    <w:rsid w:val="1669259D"/>
    <w:rsid w:val="16AA643D"/>
    <w:rsid w:val="16C16894"/>
    <w:rsid w:val="16E33E89"/>
    <w:rsid w:val="16E62698"/>
    <w:rsid w:val="170161F1"/>
    <w:rsid w:val="170B2AE0"/>
    <w:rsid w:val="170C2076"/>
    <w:rsid w:val="171347E8"/>
    <w:rsid w:val="171F0553"/>
    <w:rsid w:val="17412D20"/>
    <w:rsid w:val="17656EC7"/>
    <w:rsid w:val="17865E6F"/>
    <w:rsid w:val="178B2FCA"/>
    <w:rsid w:val="17AB12FD"/>
    <w:rsid w:val="17B54142"/>
    <w:rsid w:val="17C46624"/>
    <w:rsid w:val="17D73777"/>
    <w:rsid w:val="17E12977"/>
    <w:rsid w:val="17E16748"/>
    <w:rsid w:val="17E443B7"/>
    <w:rsid w:val="17E64412"/>
    <w:rsid w:val="183A16EE"/>
    <w:rsid w:val="185C0EDF"/>
    <w:rsid w:val="187D7569"/>
    <w:rsid w:val="188859CE"/>
    <w:rsid w:val="189F55F4"/>
    <w:rsid w:val="18A349C4"/>
    <w:rsid w:val="18A75C99"/>
    <w:rsid w:val="18AC5E00"/>
    <w:rsid w:val="18B20FCE"/>
    <w:rsid w:val="18B86C85"/>
    <w:rsid w:val="18F273A6"/>
    <w:rsid w:val="18F94148"/>
    <w:rsid w:val="192A68C8"/>
    <w:rsid w:val="19486FB2"/>
    <w:rsid w:val="19555DF8"/>
    <w:rsid w:val="195619E7"/>
    <w:rsid w:val="196E49C7"/>
    <w:rsid w:val="199475C6"/>
    <w:rsid w:val="19963360"/>
    <w:rsid w:val="199F5019"/>
    <w:rsid w:val="19DF13F6"/>
    <w:rsid w:val="1A357CA1"/>
    <w:rsid w:val="1A390864"/>
    <w:rsid w:val="1A424EBB"/>
    <w:rsid w:val="1A6A324A"/>
    <w:rsid w:val="1ABD6ABC"/>
    <w:rsid w:val="1AC77936"/>
    <w:rsid w:val="1AEC4961"/>
    <w:rsid w:val="1B06535A"/>
    <w:rsid w:val="1B181533"/>
    <w:rsid w:val="1B2F00B3"/>
    <w:rsid w:val="1B7E2B45"/>
    <w:rsid w:val="1B81408E"/>
    <w:rsid w:val="1BA7556B"/>
    <w:rsid w:val="1BCB5B1E"/>
    <w:rsid w:val="1BDE1760"/>
    <w:rsid w:val="1BF1026B"/>
    <w:rsid w:val="1C047DD5"/>
    <w:rsid w:val="1C2551E1"/>
    <w:rsid w:val="1C4B349A"/>
    <w:rsid w:val="1C656F34"/>
    <w:rsid w:val="1C812996"/>
    <w:rsid w:val="1C946602"/>
    <w:rsid w:val="1CA232AC"/>
    <w:rsid w:val="1CCA7376"/>
    <w:rsid w:val="1CDA731B"/>
    <w:rsid w:val="1D074EC5"/>
    <w:rsid w:val="1D0B7287"/>
    <w:rsid w:val="1D0E5817"/>
    <w:rsid w:val="1D153E51"/>
    <w:rsid w:val="1D222B64"/>
    <w:rsid w:val="1D2826AC"/>
    <w:rsid w:val="1D447C32"/>
    <w:rsid w:val="1D723709"/>
    <w:rsid w:val="1DA03128"/>
    <w:rsid w:val="1DA05131"/>
    <w:rsid w:val="1DB25B96"/>
    <w:rsid w:val="1DC52A30"/>
    <w:rsid w:val="1DC65517"/>
    <w:rsid w:val="1DD66520"/>
    <w:rsid w:val="1DE870A5"/>
    <w:rsid w:val="1DED5C0B"/>
    <w:rsid w:val="1E16127D"/>
    <w:rsid w:val="1E2A33E0"/>
    <w:rsid w:val="1E465BA2"/>
    <w:rsid w:val="1E5E47E0"/>
    <w:rsid w:val="1E65548D"/>
    <w:rsid w:val="1E6A5CCC"/>
    <w:rsid w:val="1E815AFF"/>
    <w:rsid w:val="1E84689A"/>
    <w:rsid w:val="1E9F3A7D"/>
    <w:rsid w:val="1F0E3A3F"/>
    <w:rsid w:val="1F0F5251"/>
    <w:rsid w:val="1F1555E0"/>
    <w:rsid w:val="1F453C6A"/>
    <w:rsid w:val="1F5472F6"/>
    <w:rsid w:val="1F5662B7"/>
    <w:rsid w:val="1F663A3C"/>
    <w:rsid w:val="1F686F0F"/>
    <w:rsid w:val="1F6E7EA0"/>
    <w:rsid w:val="1F805BBC"/>
    <w:rsid w:val="1FA83428"/>
    <w:rsid w:val="1FA91EA6"/>
    <w:rsid w:val="1FE73C5F"/>
    <w:rsid w:val="1FEE3DEA"/>
    <w:rsid w:val="1FF877BF"/>
    <w:rsid w:val="20114AD1"/>
    <w:rsid w:val="202915A2"/>
    <w:rsid w:val="2038536A"/>
    <w:rsid w:val="204539A1"/>
    <w:rsid w:val="205D2600"/>
    <w:rsid w:val="20641492"/>
    <w:rsid w:val="206E486C"/>
    <w:rsid w:val="207019F5"/>
    <w:rsid w:val="20806241"/>
    <w:rsid w:val="208D6C00"/>
    <w:rsid w:val="20B030F9"/>
    <w:rsid w:val="20BA6D68"/>
    <w:rsid w:val="20DD7A52"/>
    <w:rsid w:val="20EC75B1"/>
    <w:rsid w:val="21087874"/>
    <w:rsid w:val="21346507"/>
    <w:rsid w:val="213C7062"/>
    <w:rsid w:val="21435719"/>
    <w:rsid w:val="21457AA6"/>
    <w:rsid w:val="2184057F"/>
    <w:rsid w:val="219C4AB4"/>
    <w:rsid w:val="21B64B73"/>
    <w:rsid w:val="21B76AE0"/>
    <w:rsid w:val="21D62FA7"/>
    <w:rsid w:val="21F63830"/>
    <w:rsid w:val="221A760B"/>
    <w:rsid w:val="223C008F"/>
    <w:rsid w:val="22472B4C"/>
    <w:rsid w:val="225828D9"/>
    <w:rsid w:val="22643497"/>
    <w:rsid w:val="22794F14"/>
    <w:rsid w:val="227F77DE"/>
    <w:rsid w:val="229442B5"/>
    <w:rsid w:val="22C67959"/>
    <w:rsid w:val="22E406C3"/>
    <w:rsid w:val="22FB0688"/>
    <w:rsid w:val="230828C0"/>
    <w:rsid w:val="231C0C23"/>
    <w:rsid w:val="232063A6"/>
    <w:rsid w:val="232776C0"/>
    <w:rsid w:val="23635693"/>
    <w:rsid w:val="23964ED7"/>
    <w:rsid w:val="239F4B3B"/>
    <w:rsid w:val="23B24BCE"/>
    <w:rsid w:val="23B76FD3"/>
    <w:rsid w:val="23B97AB4"/>
    <w:rsid w:val="23C44AC9"/>
    <w:rsid w:val="23ED7ADD"/>
    <w:rsid w:val="23F71A51"/>
    <w:rsid w:val="23FA536A"/>
    <w:rsid w:val="240C6AFA"/>
    <w:rsid w:val="24442729"/>
    <w:rsid w:val="2448342E"/>
    <w:rsid w:val="244B7F91"/>
    <w:rsid w:val="245C48D7"/>
    <w:rsid w:val="246E108F"/>
    <w:rsid w:val="246F3DEA"/>
    <w:rsid w:val="248A20F3"/>
    <w:rsid w:val="24A249FE"/>
    <w:rsid w:val="24AC00F3"/>
    <w:rsid w:val="24BB2ACC"/>
    <w:rsid w:val="24E3226F"/>
    <w:rsid w:val="24F37B94"/>
    <w:rsid w:val="25066EF6"/>
    <w:rsid w:val="2518296A"/>
    <w:rsid w:val="253F4C3B"/>
    <w:rsid w:val="2586338E"/>
    <w:rsid w:val="259A1EB6"/>
    <w:rsid w:val="25AE54D9"/>
    <w:rsid w:val="25B52531"/>
    <w:rsid w:val="25BA112C"/>
    <w:rsid w:val="25CE2471"/>
    <w:rsid w:val="25D976AC"/>
    <w:rsid w:val="26066D6F"/>
    <w:rsid w:val="26235A5B"/>
    <w:rsid w:val="262E24B2"/>
    <w:rsid w:val="26344A11"/>
    <w:rsid w:val="268B284C"/>
    <w:rsid w:val="26935619"/>
    <w:rsid w:val="26A26BEE"/>
    <w:rsid w:val="26C7367F"/>
    <w:rsid w:val="26CC34C5"/>
    <w:rsid w:val="26CD70F0"/>
    <w:rsid w:val="26E401E5"/>
    <w:rsid w:val="26E97493"/>
    <w:rsid w:val="26FE1742"/>
    <w:rsid w:val="26FF1B22"/>
    <w:rsid w:val="2701248A"/>
    <w:rsid w:val="27015D0E"/>
    <w:rsid w:val="270E59D2"/>
    <w:rsid w:val="272776D5"/>
    <w:rsid w:val="272B4880"/>
    <w:rsid w:val="2745366C"/>
    <w:rsid w:val="274F6261"/>
    <w:rsid w:val="277A093D"/>
    <w:rsid w:val="27800637"/>
    <w:rsid w:val="278241BD"/>
    <w:rsid w:val="27971706"/>
    <w:rsid w:val="279767AD"/>
    <w:rsid w:val="27B365ED"/>
    <w:rsid w:val="280755BB"/>
    <w:rsid w:val="281A6A91"/>
    <w:rsid w:val="28306360"/>
    <w:rsid w:val="284C2668"/>
    <w:rsid w:val="286012E2"/>
    <w:rsid w:val="286D29E1"/>
    <w:rsid w:val="288714FD"/>
    <w:rsid w:val="28B360C1"/>
    <w:rsid w:val="28C90B09"/>
    <w:rsid w:val="28CC3AA7"/>
    <w:rsid w:val="28CF34CF"/>
    <w:rsid w:val="28E656E0"/>
    <w:rsid w:val="28EA436C"/>
    <w:rsid w:val="28FF2FB4"/>
    <w:rsid w:val="29215BA4"/>
    <w:rsid w:val="292F41B4"/>
    <w:rsid w:val="293876BA"/>
    <w:rsid w:val="29595CDE"/>
    <w:rsid w:val="29660000"/>
    <w:rsid w:val="29761AB1"/>
    <w:rsid w:val="298174D0"/>
    <w:rsid w:val="298A5CBE"/>
    <w:rsid w:val="29A65A1D"/>
    <w:rsid w:val="29AF38AF"/>
    <w:rsid w:val="29B4634A"/>
    <w:rsid w:val="29EA6C76"/>
    <w:rsid w:val="29F10992"/>
    <w:rsid w:val="29F1685F"/>
    <w:rsid w:val="29FA3D4D"/>
    <w:rsid w:val="2A035FF2"/>
    <w:rsid w:val="2A065716"/>
    <w:rsid w:val="2A155F52"/>
    <w:rsid w:val="2A2E1289"/>
    <w:rsid w:val="2A4F081B"/>
    <w:rsid w:val="2A8229CD"/>
    <w:rsid w:val="2A8453B1"/>
    <w:rsid w:val="2A863051"/>
    <w:rsid w:val="2A9920D3"/>
    <w:rsid w:val="2AA56CCB"/>
    <w:rsid w:val="2AC6139B"/>
    <w:rsid w:val="2ADD5BBA"/>
    <w:rsid w:val="2AE37315"/>
    <w:rsid w:val="2B2016DF"/>
    <w:rsid w:val="2B2412CD"/>
    <w:rsid w:val="2B2433DD"/>
    <w:rsid w:val="2B2855EF"/>
    <w:rsid w:val="2B400144"/>
    <w:rsid w:val="2B40097A"/>
    <w:rsid w:val="2B490619"/>
    <w:rsid w:val="2B525286"/>
    <w:rsid w:val="2B525F6B"/>
    <w:rsid w:val="2B7045BE"/>
    <w:rsid w:val="2B9D7C99"/>
    <w:rsid w:val="2BA90F52"/>
    <w:rsid w:val="2BAB53B1"/>
    <w:rsid w:val="2BB51544"/>
    <w:rsid w:val="2BC346BE"/>
    <w:rsid w:val="2BE16598"/>
    <w:rsid w:val="2BF269A7"/>
    <w:rsid w:val="2C1C696A"/>
    <w:rsid w:val="2C263268"/>
    <w:rsid w:val="2C457AB2"/>
    <w:rsid w:val="2C5174E0"/>
    <w:rsid w:val="2C5618F8"/>
    <w:rsid w:val="2C5F33AB"/>
    <w:rsid w:val="2C6A365C"/>
    <w:rsid w:val="2C877A43"/>
    <w:rsid w:val="2C8F59B2"/>
    <w:rsid w:val="2CA86A04"/>
    <w:rsid w:val="2CE22AB5"/>
    <w:rsid w:val="2CF518D4"/>
    <w:rsid w:val="2D050326"/>
    <w:rsid w:val="2D2A0881"/>
    <w:rsid w:val="2D320D1B"/>
    <w:rsid w:val="2D347FF2"/>
    <w:rsid w:val="2D5E00FB"/>
    <w:rsid w:val="2D845825"/>
    <w:rsid w:val="2D9A7120"/>
    <w:rsid w:val="2DC50F24"/>
    <w:rsid w:val="2DE37696"/>
    <w:rsid w:val="2DE435D2"/>
    <w:rsid w:val="2DF36570"/>
    <w:rsid w:val="2E0532BC"/>
    <w:rsid w:val="2E196A7B"/>
    <w:rsid w:val="2E235B1A"/>
    <w:rsid w:val="2E2D4D5E"/>
    <w:rsid w:val="2E3512B9"/>
    <w:rsid w:val="2E3A7CE1"/>
    <w:rsid w:val="2E5E27D5"/>
    <w:rsid w:val="2E8C2848"/>
    <w:rsid w:val="2EA0763F"/>
    <w:rsid w:val="2ECC4C86"/>
    <w:rsid w:val="2ECF2A5B"/>
    <w:rsid w:val="2ED524EE"/>
    <w:rsid w:val="2F185165"/>
    <w:rsid w:val="2F2D4173"/>
    <w:rsid w:val="2F2E5DF2"/>
    <w:rsid w:val="2F323DD8"/>
    <w:rsid w:val="2F3C308F"/>
    <w:rsid w:val="2F3D0D32"/>
    <w:rsid w:val="2F614949"/>
    <w:rsid w:val="2F643906"/>
    <w:rsid w:val="2F795989"/>
    <w:rsid w:val="2F8278DB"/>
    <w:rsid w:val="2F9C7A54"/>
    <w:rsid w:val="2F9D6043"/>
    <w:rsid w:val="2FC04163"/>
    <w:rsid w:val="2FC84F62"/>
    <w:rsid w:val="2FCC3FBC"/>
    <w:rsid w:val="2FD71C09"/>
    <w:rsid w:val="2FE13372"/>
    <w:rsid w:val="2FE827F5"/>
    <w:rsid w:val="2FE930D1"/>
    <w:rsid w:val="3006129D"/>
    <w:rsid w:val="303965FE"/>
    <w:rsid w:val="30B5333E"/>
    <w:rsid w:val="30DC639E"/>
    <w:rsid w:val="30E50775"/>
    <w:rsid w:val="30F90549"/>
    <w:rsid w:val="310D4CA7"/>
    <w:rsid w:val="313C614E"/>
    <w:rsid w:val="31505DAD"/>
    <w:rsid w:val="31532F2D"/>
    <w:rsid w:val="31624461"/>
    <w:rsid w:val="31796188"/>
    <w:rsid w:val="318320A8"/>
    <w:rsid w:val="31A40879"/>
    <w:rsid w:val="31BC397A"/>
    <w:rsid w:val="31C1309B"/>
    <w:rsid w:val="31C17B95"/>
    <w:rsid w:val="31CD7106"/>
    <w:rsid w:val="31D065F8"/>
    <w:rsid w:val="31F57EDC"/>
    <w:rsid w:val="320C1BA8"/>
    <w:rsid w:val="323E6AE2"/>
    <w:rsid w:val="32525BE1"/>
    <w:rsid w:val="32627FDA"/>
    <w:rsid w:val="32821075"/>
    <w:rsid w:val="328C692D"/>
    <w:rsid w:val="32AA5A6C"/>
    <w:rsid w:val="32AE7C64"/>
    <w:rsid w:val="32B56792"/>
    <w:rsid w:val="32BC30EA"/>
    <w:rsid w:val="32C51192"/>
    <w:rsid w:val="32CD43F3"/>
    <w:rsid w:val="32EE7C35"/>
    <w:rsid w:val="330E11CE"/>
    <w:rsid w:val="332848FF"/>
    <w:rsid w:val="334932BF"/>
    <w:rsid w:val="336B267A"/>
    <w:rsid w:val="33B33591"/>
    <w:rsid w:val="33C40DAF"/>
    <w:rsid w:val="33CB50F6"/>
    <w:rsid w:val="33DE6E17"/>
    <w:rsid w:val="33EA5773"/>
    <w:rsid w:val="34156596"/>
    <w:rsid w:val="341579FF"/>
    <w:rsid w:val="34356D52"/>
    <w:rsid w:val="343B1E3D"/>
    <w:rsid w:val="343B340E"/>
    <w:rsid w:val="34601EF9"/>
    <w:rsid w:val="346B3A49"/>
    <w:rsid w:val="347B2C27"/>
    <w:rsid w:val="3480762C"/>
    <w:rsid w:val="34B563E2"/>
    <w:rsid w:val="34BA47F2"/>
    <w:rsid w:val="34C71782"/>
    <w:rsid w:val="34CA2810"/>
    <w:rsid w:val="34CB7EBB"/>
    <w:rsid w:val="34CF5635"/>
    <w:rsid w:val="34F66268"/>
    <w:rsid w:val="34F73875"/>
    <w:rsid w:val="35033E04"/>
    <w:rsid w:val="350A1874"/>
    <w:rsid w:val="350A2FE5"/>
    <w:rsid w:val="350C4714"/>
    <w:rsid w:val="351A087B"/>
    <w:rsid w:val="35270B41"/>
    <w:rsid w:val="353323D5"/>
    <w:rsid w:val="357915CD"/>
    <w:rsid w:val="35925C72"/>
    <w:rsid w:val="35973F2D"/>
    <w:rsid w:val="35C26DEE"/>
    <w:rsid w:val="360F267E"/>
    <w:rsid w:val="3617681A"/>
    <w:rsid w:val="365A50BB"/>
    <w:rsid w:val="366A7A1A"/>
    <w:rsid w:val="366E68DA"/>
    <w:rsid w:val="36881F0D"/>
    <w:rsid w:val="36C41867"/>
    <w:rsid w:val="36CC24F7"/>
    <w:rsid w:val="36DC1879"/>
    <w:rsid w:val="370E4C3C"/>
    <w:rsid w:val="372D5DB7"/>
    <w:rsid w:val="373C3CC0"/>
    <w:rsid w:val="375436D4"/>
    <w:rsid w:val="37545502"/>
    <w:rsid w:val="37855348"/>
    <w:rsid w:val="37961987"/>
    <w:rsid w:val="37D4606B"/>
    <w:rsid w:val="37FA4F3B"/>
    <w:rsid w:val="381F5E35"/>
    <w:rsid w:val="382F61FD"/>
    <w:rsid w:val="383813C8"/>
    <w:rsid w:val="385244BD"/>
    <w:rsid w:val="38623892"/>
    <w:rsid w:val="38650C3E"/>
    <w:rsid w:val="388809BB"/>
    <w:rsid w:val="388A07DC"/>
    <w:rsid w:val="38C1223C"/>
    <w:rsid w:val="38D23B1E"/>
    <w:rsid w:val="38D41757"/>
    <w:rsid w:val="38D6391B"/>
    <w:rsid w:val="38DF4349"/>
    <w:rsid w:val="38E431AE"/>
    <w:rsid w:val="38E96309"/>
    <w:rsid w:val="38F57B5C"/>
    <w:rsid w:val="38FD2469"/>
    <w:rsid w:val="39173D9A"/>
    <w:rsid w:val="391908C8"/>
    <w:rsid w:val="39325A4C"/>
    <w:rsid w:val="39334744"/>
    <w:rsid w:val="393F256E"/>
    <w:rsid w:val="3948026B"/>
    <w:rsid w:val="3956604D"/>
    <w:rsid w:val="39641092"/>
    <w:rsid w:val="39A1679C"/>
    <w:rsid w:val="39A80FF1"/>
    <w:rsid w:val="39E64BF5"/>
    <w:rsid w:val="39F12A70"/>
    <w:rsid w:val="3A0354B7"/>
    <w:rsid w:val="3A132F16"/>
    <w:rsid w:val="3A1B3237"/>
    <w:rsid w:val="3A56074F"/>
    <w:rsid w:val="3A7C26E0"/>
    <w:rsid w:val="3A852CE4"/>
    <w:rsid w:val="3A8F4331"/>
    <w:rsid w:val="3A93517E"/>
    <w:rsid w:val="3A9D3380"/>
    <w:rsid w:val="3AA20C1F"/>
    <w:rsid w:val="3AEF12C8"/>
    <w:rsid w:val="3B42434C"/>
    <w:rsid w:val="3B490289"/>
    <w:rsid w:val="3B8E4A09"/>
    <w:rsid w:val="3BAC6896"/>
    <w:rsid w:val="3BCA17D2"/>
    <w:rsid w:val="3BD07133"/>
    <w:rsid w:val="3BE55A8F"/>
    <w:rsid w:val="3BF035AB"/>
    <w:rsid w:val="3BF44C1A"/>
    <w:rsid w:val="3C030505"/>
    <w:rsid w:val="3C0556F7"/>
    <w:rsid w:val="3C197648"/>
    <w:rsid w:val="3C1C7B13"/>
    <w:rsid w:val="3C294B1B"/>
    <w:rsid w:val="3C34574B"/>
    <w:rsid w:val="3C3B492E"/>
    <w:rsid w:val="3C5A2D1C"/>
    <w:rsid w:val="3C7941AB"/>
    <w:rsid w:val="3C845F7F"/>
    <w:rsid w:val="3C8F4F59"/>
    <w:rsid w:val="3CAD36F9"/>
    <w:rsid w:val="3CB37024"/>
    <w:rsid w:val="3CE47750"/>
    <w:rsid w:val="3CF159F1"/>
    <w:rsid w:val="3D022437"/>
    <w:rsid w:val="3D057F7D"/>
    <w:rsid w:val="3D0976C4"/>
    <w:rsid w:val="3D1C40D6"/>
    <w:rsid w:val="3D215D5B"/>
    <w:rsid w:val="3D2D6B60"/>
    <w:rsid w:val="3D3F7688"/>
    <w:rsid w:val="3D4752E9"/>
    <w:rsid w:val="3D7E34D1"/>
    <w:rsid w:val="3D86314C"/>
    <w:rsid w:val="3D8A29DF"/>
    <w:rsid w:val="3D8C258A"/>
    <w:rsid w:val="3DA7157D"/>
    <w:rsid w:val="3DC75D75"/>
    <w:rsid w:val="3DD63896"/>
    <w:rsid w:val="3DEC3000"/>
    <w:rsid w:val="3DED1264"/>
    <w:rsid w:val="3DEE70ED"/>
    <w:rsid w:val="3E0347A6"/>
    <w:rsid w:val="3E301932"/>
    <w:rsid w:val="3E37139E"/>
    <w:rsid w:val="3E386E20"/>
    <w:rsid w:val="3E3E18DD"/>
    <w:rsid w:val="3E403714"/>
    <w:rsid w:val="3E453D3D"/>
    <w:rsid w:val="3E5C5F16"/>
    <w:rsid w:val="3E7767C2"/>
    <w:rsid w:val="3E7811DF"/>
    <w:rsid w:val="3E7E6A1E"/>
    <w:rsid w:val="3E8325F4"/>
    <w:rsid w:val="3E9960D0"/>
    <w:rsid w:val="3EBC691E"/>
    <w:rsid w:val="3EC81074"/>
    <w:rsid w:val="3ECE2706"/>
    <w:rsid w:val="3EF21A56"/>
    <w:rsid w:val="3F3527DB"/>
    <w:rsid w:val="3F610CAF"/>
    <w:rsid w:val="3F7A1A6C"/>
    <w:rsid w:val="3F92191C"/>
    <w:rsid w:val="3FBA3CFE"/>
    <w:rsid w:val="3FCD2F32"/>
    <w:rsid w:val="40103CBB"/>
    <w:rsid w:val="40125A2D"/>
    <w:rsid w:val="40130954"/>
    <w:rsid w:val="402F14D9"/>
    <w:rsid w:val="4042437C"/>
    <w:rsid w:val="40437225"/>
    <w:rsid w:val="40666255"/>
    <w:rsid w:val="40852B71"/>
    <w:rsid w:val="40A4504A"/>
    <w:rsid w:val="40A56A55"/>
    <w:rsid w:val="40D04F96"/>
    <w:rsid w:val="40D25774"/>
    <w:rsid w:val="40D83A8D"/>
    <w:rsid w:val="40EA045F"/>
    <w:rsid w:val="410939D2"/>
    <w:rsid w:val="41232AC2"/>
    <w:rsid w:val="412F650A"/>
    <w:rsid w:val="4154383A"/>
    <w:rsid w:val="415826D8"/>
    <w:rsid w:val="41607114"/>
    <w:rsid w:val="416A77B2"/>
    <w:rsid w:val="417B2704"/>
    <w:rsid w:val="41AB23F4"/>
    <w:rsid w:val="41C97DFF"/>
    <w:rsid w:val="41EC414B"/>
    <w:rsid w:val="42092064"/>
    <w:rsid w:val="422507F0"/>
    <w:rsid w:val="422D3953"/>
    <w:rsid w:val="425056D7"/>
    <w:rsid w:val="425362F5"/>
    <w:rsid w:val="425921C7"/>
    <w:rsid w:val="426B7473"/>
    <w:rsid w:val="427E562E"/>
    <w:rsid w:val="428075BF"/>
    <w:rsid w:val="428B1B6D"/>
    <w:rsid w:val="42924F23"/>
    <w:rsid w:val="42C22B34"/>
    <w:rsid w:val="42C269D8"/>
    <w:rsid w:val="42C433F4"/>
    <w:rsid w:val="42E6571C"/>
    <w:rsid w:val="42F36A35"/>
    <w:rsid w:val="42F624A6"/>
    <w:rsid w:val="43124F15"/>
    <w:rsid w:val="43137F9E"/>
    <w:rsid w:val="43297F3D"/>
    <w:rsid w:val="434C069A"/>
    <w:rsid w:val="43707565"/>
    <w:rsid w:val="43814E59"/>
    <w:rsid w:val="43CC24F9"/>
    <w:rsid w:val="43D60296"/>
    <w:rsid w:val="43DA723D"/>
    <w:rsid w:val="43EA6CA9"/>
    <w:rsid w:val="43F77F39"/>
    <w:rsid w:val="440276F4"/>
    <w:rsid w:val="4412373D"/>
    <w:rsid w:val="44242A75"/>
    <w:rsid w:val="4426663E"/>
    <w:rsid w:val="44364561"/>
    <w:rsid w:val="44846EF4"/>
    <w:rsid w:val="448B20BD"/>
    <w:rsid w:val="449667D9"/>
    <w:rsid w:val="44D00889"/>
    <w:rsid w:val="44DB3186"/>
    <w:rsid w:val="44E6462B"/>
    <w:rsid w:val="44F11AA7"/>
    <w:rsid w:val="453146CD"/>
    <w:rsid w:val="45535650"/>
    <w:rsid w:val="455A36D4"/>
    <w:rsid w:val="45642733"/>
    <w:rsid w:val="456D1461"/>
    <w:rsid w:val="45851C29"/>
    <w:rsid w:val="45880124"/>
    <w:rsid w:val="45FB5915"/>
    <w:rsid w:val="46157C30"/>
    <w:rsid w:val="462875A5"/>
    <w:rsid w:val="462E6C0B"/>
    <w:rsid w:val="46344CB5"/>
    <w:rsid w:val="4639201B"/>
    <w:rsid w:val="468E2831"/>
    <w:rsid w:val="46A401F3"/>
    <w:rsid w:val="470044F7"/>
    <w:rsid w:val="47074A07"/>
    <w:rsid w:val="47077F50"/>
    <w:rsid w:val="471A4293"/>
    <w:rsid w:val="472E499A"/>
    <w:rsid w:val="4750237F"/>
    <w:rsid w:val="475A0EB2"/>
    <w:rsid w:val="475B3E56"/>
    <w:rsid w:val="475E4BEA"/>
    <w:rsid w:val="47766E62"/>
    <w:rsid w:val="479E21BE"/>
    <w:rsid w:val="47A32293"/>
    <w:rsid w:val="47AB5258"/>
    <w:rsid w:val="47CB5980"/>
    <w:rsid w:val="47E7569B"/>
    <w:rsid w:val="47F14B7F"/>
    <w:rsid w:val="48091AB5"/>
    <w:rsid w:val="48145B11"/>
    <w:rsid w:val="48541AB4"/>
    <w:rsid w:val="488739F0"/>
    <w:rsid w:val="489D3FD7"/>
    <w:rsid w:val="48AF30F8"/>
    <w:rsid w:val="48B35E3A"/>
    <w:rsid w:val="48BA78DE"/>
    <w:rsid w:val="48C2276C"/>
    <w:rsid w:val="48CA70FD"/>
    <w:rsid w:val="48CB5058"/>
    <w:rsid w:val="48CC2435"/>
    <w:rsid w:val="490D4C4F"/>
    <w:rsid w:val="49134474"/>
    <w:rsid w:val="494065BB"/>
    <w:rsid w:val="494824A6"/>
    <w:rsid w:val="495C582C"/>
    <w:rsid w:val="496517C0"/>
    <w:rsid w:val="499814CB"/>
    <w:rsid w:val="499C42E2"/>
    <w:rsid w:val="49B46498"/>
    <w:rsid w:val="49C11DC8"/>
    <w:rsid w:val="49D6568D"/>
    <w:rsid w:val="49FA026B"/>
    <w:rsid w:val="49FA3470"/>
    <w:rsid w:val="4A0F75F5"/>
    <w:rsid w:val="4A3F23A4"/>
    <w:rsid w:val="4A45165A"/>
    <w:rsid w:val="4A596B7C"/>
    <w:rsid w:val="4A5E3A23"/>
    <w:rsid w:val="4A92373A"/>
    <w:rsid w:val="4A9471BB"/>
    <w:rsid w:val="4AA043AA"/>
    <w:rsid w:val="4ABA51D3"/>
    <w:rsid w:val="4ABD1A49"/>
    <w:rsid w:val="4ACE6A69"/>
    <w:rsid w:val="4AD16E3D"/>
    <w:rsid w:val="4AF0675A"/>
    <w:rsid w:val="4AF931B1"/>
    <w:rsid w:val="4AFC3933"/>
    <w:rsid w:val="4B17556D"/>
    <w:rsid w:val="4B46248B"/>
    <w:rsid w:val="4B804DBA"/>
    <w:rsid w:val="4B8D6483"/>
    <w:rsid w:val="4B994F91"/>
    <w:rsid w:val="4BBD33CE"/>
    <w:rsid w:val="4BC75233"/>
    <w:rsid w:val="4BE27921"/>
    <w:rsid w:val="4C5B7BDE"/>
    <w:rsid w:val="4C6355B0"/>
    <w:rsid w:val="4CAA6DEC"/>
    <w:rsid w:val="4CBB5870"/>
    <w:rsid w:val="4CC24C50"/>
    <w:rsid w:val="4D036E5B"/>
    <w:rsid w:val="4D0E12D1"/>
    <w:rsid w:val="4D291727"/>
    <w:rsid w:val="4D2A6786"/>
    <w:rsid w:val="4D365321"/>
    <w:rsid w:val="4D3913B2"/>
    <w:rsid w:val="4D5A240F"/>
    <w:rsid w:val="4D681C3A"/>
    <w:rsid w:val="4D6E540A"/>
    <w:rsid w:val="4D8713C9"/>
    <w:rsid w:val="4D976B7C"/>
    <w:rsid w:val="4DA27A1C"/>
    <w:rsid w:val="4DAA76F7"/>
    <w:rsid w:val="4DBE1C1A"/>
    <w:rsid w:val="4DE42992"/>
    <w:rsid w:val="4DE652ED"/>
    <w:rsid w:val="4DEF06D0"/>
    <w:rsid w:val="4DFF0486"/>
    <w:rsid w:val="4DFF3300"/>
    <w:rsid w:val="4E0C0B2F"/>
    <w:rsid w:val="4E1405C7"/>
    <w:rsid w:val="4E1D0257"/>
    <w:rsid w:val="4EA53DCB"/>
    <w:rsid w:val="4EC877D1"/>
    <w:rsid w:val="4ED72506"/>
    <w:rsid w:val="4EF5541B"/>
    <w:rsid w:val="4F203DE0"/>
    <w:rsid w:val="4F72431F"/>
    <w:rsid w:val="4FA90FFB"/>
    <w:rsid w:val="4FB56FE1"/>
    <w:rsid w:val="4FBE780A"/>
    <w:rsid w:val="4FEE6C17"/>
    <w:rsid w:val="4FF442B8"/>
    <w:rsid w:val="4FF74036"/>
    <w:rsid w:val="50155B19"/>
    <w:rsid w:val="5023371B"/>
    <w:rsid w:val="503A7D50"/>
    <w:rsid w:val="50414F9A"/>
    <w:rsid w:val="505173DF"/>
    <w:rsid w:val="50573EE0"/>
    <w:rsid w:val="50687EE1"/>
    <w:rsid w:val="507D4863"/>
    <w:rsid w:val="50825ABD"/>
    <w:rsid w:val="50847E24"/>
    <w:rsid w:val="508B2042"/>
    <w:rsid w:val="508E1933"/>
    <w:rsid w:val="50A117D4"/>
    <w:rsid w:val="50DC48AF"/>
    <w:rsid w:val="50DF5D5D"/>
    <w:rsid w:val="50F1625A"/>
    <w:rsid w:val="5124215A"/>
    <w:rsid w:val="51320B4E"/>
    <w:rsid w:val="513F47ED"/>
    <w:rsid w:val="514B245C"/>
    <w:rsid w:val="517806BF"/>
    <w:rsid w:val="519B7926"/>
    <w:rsid w:val="51B15013"/>
    <w:rsid w:val="51B4092B"/>
    <w:rsid w:val="51E62428"/>
    <w:rsid w:val="51F04FD8"/>
    <w:rsid w:val="51F21B85"/>
    <w:rsid w:val="52177C0F"/>
    <w:rsid w:val="5222697F"/>
    <w:rsid w:val="5253705D"/>
    <w:rsid w:val="52641C31"/>
    <w:rsid w:val="527375B5"/>
    <w:rsid w:val="52820E7C"/>
    <w:rsid w:val="52BD5372"/>
    <w:rsid w:val="52C066E1"/>
    <w:rsid w:val="52D93B7C"/>
    <w:rsid w:val="52E0721B"/>
    <w:rsid w:val="52E51C8D"/>
    <w:rsid w:val="52E573FD"/>
    <w:rsid w:val="52E7467F"/>
    <w:rsid w:val="530379C0"/>
    <w:rsid w:val="5318224A"/>
    <w:rsid w:val="53211D72"/>
    <w:rsid w:val="5334399F"/>
    <w:rsid w:val="533A3138"/>
    <w:rsid w:val="537D1372"/>
    <w:rsid w:val="537E1D17"/>
    <w:rsid w:val="538F0C41"/>
    <w:rsid w:val="53A07EA4"/>
    <w:rsid w:val="53BB45BD"/>
    <w:rsid w:val="53D8574B"/>
    <w:rsid w:val="53E93774"/>
    <w:rsid w:val="53FE4378"/>
    <w:rsid w:val="53FF22C9"/>
    <w:rsid w:val="541146DE"/>
    <w:rsid w:val="54124691"/>
    <w:rsid w:val="54227209"/>
    <w:rsid w:val="542F6611"/>
    <w:rsid w:val="5430288F"/>
    <w:rsid w:val="544E4D2A"/>
    <w:rsid w:val="54747F77"/>
    <w:rsid w:val="549D351B"/>
    <w:rsid w:val="54A52B04"/>
    <w:rsid w:val="54BD3E01"/>
    <w:rsid w:val="54D61AC6"/>
    <w:rsid w:val="54F61DAC"/>
    <w:rsid w:val="55006FA8"/>
    <w:rsid w:val="55061C05"/>
    <w:rsid w:val="550D4C7E"/>
    <w:rsid w:val="5534034E"/>
    <w:rsid w:val="55361973"/>
    <w:rsid w:val="557F7479"/>
    <w:rsid w:val="55826059"/>
    <w:rsid w:val="559C4EB4"/>
    <w:rsid w:val="55B577AC"/>
    <w:rsid w:val="55B840E3"/>
    <w:rsid w:val="55DB4169"/>
    <w:rsid w:val="55EA0851"/>
    <w:rsid w:val="55F2040F"/>
    <w:rsid w:val="55FB65C8"/>
    <w:rsid w:val="56021E2A"/>
    <w:rsid w:val="560A0CCC"/>
    <w:rsid w:val="560A7BA7"/>
    <w:rsid w:val="561E24B4"/>
    <w:rsid w:val="5624608C"/>
    <w:rsid w:val="566762AF"/>
    <w:rsid w:val="567233E3"/>
    <w:rsid w:val="56813D12"/>
    <w:rsid w:val="56A35EB9"/>
    <w:rsid w:val="56A65BB5"/>
    <w:rsid w:val="56AB2B6B"/>
    <w:rsid w:val="56B53234"/>
    <w:rsid w:val="56C07344"/>
    <w:rsid w:val="56D53EDE"/>
    <w:rsid w:val="56E71872"/>
    <w:rsid w:val="56E77EA7"/>
    <w:rsid w:val="56FE0584"/>
    <w:rsid w:val="57070F3F"/>
    <w:rsid w:val="5738023E"/>
    <w:rsid w:val="573B17CB"/>
    <w:rsid w:val="573D4E87"/>
    <w:rsid w:val="5781514F"/>
    <w:rsid w:val="5785375E"/>
    <w:rsid w:val="578D15B1"/>
    <w:rsid w:val="57A25E51"/>
    <w:rsid w:val="57A80A97"/>
    <w:rsid w:val="57BA2CDD"/>
    <w:rsid w:val="57C16AE7"/>
    <w:rsid w:val="57E45843"/>
    <w:rsid w:val="57F22874"/>
    <w:rsid w:val="57F77A99"/>
    <w:rsid w:val="58036FF1"/>
    <w:rsid w:val="580E26D8"/>
    <w:rsid w:val="581F31B7"/>
    <w:rsid w:val="58367EC4"/>
    <w:rsid w:val="585B2F03"/>
    <w:rsid w:val="58803767"/>
    <w:rsid w:val="58807951"/>
    <w:rsid w:val="588B4219"/>
    <w:rsid w:val="58DF4006"/>
    <w:rsid w:val="591D14AE"/>
    <w:rsid w:val="591F64C4"/>
    <w:rsid w:val="59272B65"/>
    <w:rsid w:val="59284BD5"/>
    <w:rsid w:val="593928F1"/>
    <w:rsid w:val="593B18D6"/>
    <w:rsid w:val="594A16D8"/>
    <w:rsid w:val="59574FE5"/>
    <w:rsid w:val="596E2614"/>
    <w:rsid w:val="59847F15"/>
    <w:rsid w:val="59890768"/>
    <w:rsid w:val="59B30F36"/>
    <w:rsid w:val="59E35308"/>
    <w:rsid w:val="59F12B58"/>
    <w:rsid w:val="5A151319"/>
    <w:rsid w:val="5A297836"/>
    <w:rsid w:val="5A587DA8"/>
    <w:rsid w:val="5A682F73"/>
    <w:rsid w:val="5A7E4921"/>
    <w:rsid w:val="5A8A3DB1"/>
    <w:rsid w:val="5A972372"/>
    <w:rsid w:val="5AA9184E"/>
    <w:rsid w:val="5AD433FA"/>
    <w:rsid w:val="5ADC5520"/>
    <w:rsid w:val="5AE31628"/>
    <w:rsid w:val="5AE65065"/>
    <w:rsid w:val="5AE80B9C"/>
    <w:rsid w:val="5B0C3AF9"/>
    <w:rsid w:val="5B1B7F7F"/>
    <w:rsid w:val="5B2256CE"/>
    <w:rsid w:val="5B383652"/>
    <w:rsid w:val="5B4F13CA"/>
    <w:rsid w:val="5B747B40"/>
    <w:rsid w:val="5B9135E6"/>
    <w:rsid w:val="5BA3302A"/>
    <w:rsid w:val="5BAE4B21"/>
    <w:rsid w:val="5BC85BF2"/>
    <w:rsid w:val="5BD15CD7"/>
    <w:rsid w:val="5BD62506"/>
    <w:rsid w:val="5BF005DD"/>
    <w:rsid w:val="5C281CBF"/>
    <w:rsid w:val="5C2B5993"/>
    <w:rsid w:val="5C2E5B38"/>
    <w:rsid w:val="5C3264FB"/>
    <w:rsid w:val="5C375F97"/>
    <w:rsid w:val="5C3F2313"/>
    <w:rsid w:val="5C7F704A"/>
    <w:rsid w:val="5C9610E3"/>
    <w:rsid w:val="5CC86164"/>
    <w:rsid w:val="5CD003EE"/>
    <w:rsid w:val="5CD502ED"/>
    <w:rsid w:val="5CDB0255"/>
    <w:rsid w:val="5CED0783"/>
    <w:rsid w:val="5CF750B0"/>
    <w:rsid w:val="5D0040C4"/>
    <w:rsid w:val="5D1B5705"/>
    <w:rsid w:val="5D1B6CC1"/>
    <w:rsid w:val="5D3868D0"/>
    <w:rsid w:val="5D3D5F84"/>
    <w:rsid w:val="5D3E03A7"/>
    <w:rsid w:val="5D464C29"/>
    <w:rsid w:val="5D72396D"/>
    <w:rsid w:val="5D732CD0"/>
    <w:rsid w:val="5D771884"/>
    <w:rsid w:val="5D82078A"/>
    <w:rsid w:val="5D9406D1"/>
    <w:rsid w:val="5D96394F"/>
    <w:rsid w:val="5DA63350"/>
    <w:rsid w:val="5DCC1CA1"/>
    <w:rsid w:val="5DF6043F"/>
    <w:rsid w:val="5DFE13F7"/>
    <w:rsid w:val="5E0A56D8"/>
    <w:rsid w:val="5E1E33A9"/>
    <w:rsid w:val="5E230800"/>
    <w:rsid w:val="5E271CE1"/>
    <w:rsid w:val="5E3B3CA9"/>
    <w:rsid w:val="5E53162C"/>
    <w:rsid w:val="5E8377B9"/>
    <w:rsid w:val="5E9C1ACB"/>
    <w:rsid w:val="5EBD1175"/>
    <w:rsid w:val="5ECA75B8"/>
    <w:rsid w:val="5F103D27"/>
    <w:rsid w:val="5F54450C"/>
    <w:rsid w:val="5F88394B"/>
    <w:rsid w:val="5F8A6E4E"/>
    <w:rsid w:val="5F924DC1"/>
    <w:rsid w:val="5FA227CC"/>
    <w:rsid w:val="5FA811CA"/>
    <w:rsid w:val="5FB95257"/>
    <w:rsid w:val="5FC664C8"/>
    <w:rsid w:val="5FC93F13"/>
    <w:rsid w:val="5FD62241"/>
    <w:rsid w:val="5FD93159"/>
    <w:rsid w:val="5FE81552"/>
    <w:rsid w:val="5FE837F5"/>
    <w:rsid w:val="5FF6617D"/>
    <w:rsid w:val="5FFE2592"/>
    <w:rsid w:val="603F0023"/>
    <w:rsid w:val="604134CD"/>
    <w:rsid w:val="604157AD"/>
    <w:rsid w:val="604C0C43"/>
    <w:rsid w:val="605D42EA"/>
    <w:rsid w:val="60690102"/>
    <w:rsid w:val="6087354C"/>
    <w:rsid w:val="60BA6E4F"/>
    <w:rsid w:val="60BC2341"/>
    <w:rsid w:val="60CD526B"/>
    <w:rsid w:val="60DB75D3"/>
    <w:rsid w:val="60E0036E"/>
    <w:rsid w:val="60FC568B"/>
    <w:rsid w:val="60FF5D94"/>
    <w:rsid w:val="614C5EF0"/>
    <w:rsid w:val="615A7F35"/>
    <w:rsid w:val="618668C8"/>
    <w:rsid w:val="6191710B"/>
    <w:rsid w:val="61AC22C2"/>
    <w:rsid w:val="61B13F9A"/>
    <w:rsid w:val="61BC05B0"/>
    <w:rsid w:val="61BF0745"/>
    <w:rsid w:val="62007B87"/>
    <w:rsid w:val="620361E5"/>
    <w:rsid w:val="6225111B"/>
    <w:rsid w:val="6242270F"/>
    <w:rsid w:val="62444D1E"/>
    <w:rsid w:val="626211CB"/>
    <w:rsid w:val="626B4E79"/>
    <w:rsid w:val="627D15E7"/>
    <w:rsid w:val="62851CDD"/>
    <w:rsid w:val="628B388D"/>
    <w:rsid w:val="62A71108"/>
    <w:rsid w:val="62B12EE3"/>
    <w:rsid w:val="62C872A0"/>
    <w:rsid w:val="62F93432"/>
    <w:rsid w:val="630C3805"/>
    <w:rsid w:val="632623AE"/>
    <w:rsid w:val="63313CE4"/>
    <w:rsid w:val="6334467B"/>
    <w:rsid w:val="633A6E31"/>
    <w:rsid w:val="634B6A33"/>
    <w:rsid w:val="63537050"/>
    <w:rsid w:val="6366073D"/>
    <w:rsid w:val="637451BA"/>
    <w:rsid w:val="63796A60"/>
    <w:rsid w:val="63856835"/>
    <w:rsid w:val="638B56A4"/>
    <w:rsid w:val="638C7095"/>
    <w:rsid w:val="63AC2E4E"/>
    <w:rsid w:val="63B1118B"/>
    <w:rsid w:val="64042608"/>
    <w:rsid w:val="642B0FC4"/>
    <w:rsid w:val="64481CC9"/>
    <w:rsid w:val="645A63E0"/>
    <w:rsid w:val="646232A9"/>
    <w:rsid w:val="648264B3"/>
    <w:rsid w:val="649C0C41"/>
    <w:rsid w:val="64B309C1"/>
    <w:rsid w:val="64B5776A"/>
    <w:rsid w:val="64B74F47"/>
    <w:rsid w:val="64CA33E1"/>
    <w:rsid w:val="64D360F3"/>
    <w:rsid w:val="64EB5CA0"/>
    <w:rsid w:val="64F91C54"/>
    <w:rsid w:val="65031CD1"/>
    <w:rsid w:val="650352E9"/>
    <w:rsid w:val="65053E1E"/>
    <w:rsid w:val="65054FBD"/>
    <w:rsid w:val="650B73ED"/>
    <w:rsid w:val="65420171"/>
    <w:rsid w:val="65526949"/>
    <w:rsid w:val="65BD50D4"/>
    <w:rsid w:val="65D5075D"/>
    <w:rsid w:val="65DD5452"/>
    <w:rsid w:val="65FC49E9"/>
    <w:rsid w:val="661B69F5"/>
    <w:rsid w:val="66240CDA"/>
    <w:rsid w:val="662A0A38"/>
    <w:rsid w:val="66486107"/>
    <w:rsid w:val="66494234"/>
    <w:rsid w:val="665011DF"/>
    <w:rsid w:val="66626A23"/>
    <w:rsid w:val="666E2F01"/>
    <w:rsid w:val="668318A7"/>
    <w:rsid w:val="6684029B"/>
    <w:rsid w:val="669A7F65"/>
    <w:rsid w:val="66A65502"/>
    <w:rsid w:val="66B35A7A"/>
    <w:rsid w:val="66C0232A"/>
    <w:rsid w:val="66D76328"/>
    <w:rsid w:val="66DA3D3C"/>
    <w:rsid w:val="66DC180B"/>
    <w:rsid w:val="66E50D0E"/>
    <w:rsid w:val="66EC2A81"/>
    <w:rsid w:val="66F305F6"/>
    <w:rsid w:val="67183B49"/>
    <w:rsid w:val="67247A5C"/>
    <w:rsid w:val="672B1A53"/>
    <w:rsid w:val="67427C8E"/>
    <w:rsid w:val="679A765C"/>
    <w:rsid w:val="679F7235"/>
    <w:rsid w:val="67C30AB2"/>
    <w:rsid w:val="680C0D40"/>
    <w:rsid w:val="681219EC"/>
    <w:rsid w:val="682A4B88"/>
    <w:rsid w:val="682F10B1"/>
    <w:rsid w:val="68946DA9"/>
    <w:rsid w:val="68A42409"/>
    <w:rsid w:val="68A62796"/>
    <w:rsid w:val="68E77426"/>
    <w:rsid w:val="690D5ADF"/>
    <w:rsid w:val="691C697F"/>
    <w:rsid w:val="692D497F"/>
    <w:rsid w:val="693A0334"/>
    <w:rsid w:val="69567D99"/>
    <w:rsid w:val="69674BBF"/>
    <w:rsid w:val="69836008"/>
    <w:rsid w:val="69841C93"/>
    <w:rsid w:val="69892653"/>
    <w:rsid w:val="69B60B66"/>
    <w:rsid w:val="69C27024"/>
    <w:rsid w:val="69CC7479"/>
    <w:rsid w:val="69E43C45"/>
    <w:rsid w:val="69F5715D"/>
    <w:rsid w:val="6A270136"/>
    <w:rsid w:val="6A286DB5"/>
    <w:rsid w:val="6A346DB0"/>
    <w:rsid w:val="6A5128E7"/>
    <w:rsid w:val="6A555782"/>
    <w:rsid w:val="6A617017"/>
    <w:rsid w:val="6A62085F"/>
    <w:rsid w:val="6A6D17E9"/>
    <w:rsid w:val="6A897109"/>
    <w:rsid w:val="6A9F20FF"/>
    <w:rsid w:val="6AAD7CD0"/>
    <w:rsid w:val="6AC04C83"/>
    <w:rsid w:val="6AC255E7"/>
    <w:rsid w:val="6AEF0C5E"/>
    <w:rsid w:val="6B31046B"/>
    <w:rsid w:val="6B3A79C8"/>
    <w:rsid w:val="6B400911"/>
    <w:rsid w:val="6B41632D"/>
    <w:rsid w:val="6B4C4CA6"/>
    <w:rsid w:val="6BA0669E"/>
    <w:rsid w:val="6BC16A63"/>
    <w:rsid w:val="6BC301EE"/>
    <w:rsid w:val="6BCB6198"/>
    <w:rsid w:val="6BCF38A1"/>
    <w:rsid w:val="6BE31CE9"/>
    <w:rsid w:val="6BF77DC1"/>
    <w:rsid w:val="6C003EED"/>
    <w:rsid w:val="6C1908AC"/>
    <w:rsid w:val="6C2D5854"/>
    <w:rsid w:val="6C3C6A90"/>
    <w:rsid w:val="6C68017C"/>
    <w:rsid w:val="6C696408"/>
    <w:rsid w:val="6C6D2D0D"/>
    <w:rsid w:val="6C7453DE"/>
    <w:rsid w:val="6C78231C"/>
    <w:rsid w:val="6C855301"/>
    <w:rsid w:val="6CBC13F4"/>
    <w:rsid w:val="6CD25BDE"/>
    <w:rsid w:val="6D014DE6"/>
    <w:rsid w:val="6D016666"/>
    <w:rsid w:val="6D1F041D"/>
    <w:rsid w:val="6D4C79DE"/>
    <w:rsid w:val="6D696CD6"/>
    <w:rsid w:val="6D8650A8"/>
    <w:rsid w:val="6DA97C2D"/>
    <w:rsid w:val="6DB036E0"/>
    <w:rsid w:val="6DF767A3"/>
    <w:rsid w:val="6E000787"/>
    <w:rsid w:val="6E091096"/>
    <w:rsid w:val="6E306D02"/>
    <w:rsid w:val="6E3B45C6"/>
    <w:rsid w:val="6E4352D1"/>
    <w:rsid w:val="6E68594D"/>
    <w:rsid w:val="6E6D7A8D"/>
    <w:rsid w:val="6E737441"/>
    <w:rsid w:val="6EBC030F"/>
    <w:rsid w:val="6EBD76FD"/>
    <w:rsid w:val="6EE7690C"/>
    <w:rsid w:val="6F2F55F5"/>
    <w:rsid w:val="6F64004E"/>
    <w:rsid w:val="6F6D549F"/>
    <w:rsid w:val="6F833ED3"/>
    <w:rsid w:val="6FB27F32"/>
    <w:rsid w:val="6FE31E38"/>
    <w:rsid w:val="6FF806A1"/>
    <w:rsid w:val="6FFA34D4"/>
    <w:rsid w:val="700B69B6"/>
    <w:rsid w:val="7016717C"/>
    <w:rsid w:val="701F46BD"/>
    <w:rsid w:val="7036108A"/>
    <w:rsid w:val="704F6C8A"/>
    <w:rsid w:val="70512CBB"/>
    <w:rsid w:val="706F7AF1"/>
    <w:rsid w:val="7073649E"/>
    <w:rsid w:val="70997EB1"/>
    <w:rsid w:val="70B7737C"/>
    <w:rsid w:val="70C61C53"/>
    <w:rsid w:val="70D06298"/>
    <w:rsid w:val="70D37054"/>
    <w:rsid w:val="70F03E32"/>
    <w:rsid w:val="70F41DF3"/>
    <w:rsid w:val="70FD6B31"/>
    <w:rsid w:val="71263532"/>
    <w:rsid w:val="71E30C83"/>
    <w:rsid w:val="71EE6E25"/>
    <w:rsid w:val="71FC599A"/>
    <w:rsid w:val="72076B65"/>
    <w:rsid w:val="72085F0E"/>
    <w:rsid w:val="723C7C02"/>
    <w:rsid w:val="7248108B"/>
    <w:rsid w:val="724A05E8"/>
    <w:rsid w:val="724D54DA"/>
    <w:rsid w:val="725A7748"/>
    <w:rsid w:val="726D2B99"/>
    <w:rsid w:val="72811853"/>
    <w:rsid w:val="728B2E5A"/>
    <w:rsid w:val="729C3ADB"/>
    <w:rsid w:val="729C5E28"/>
    <w:rsid w:val="72BC0523"/>
    <w:rsid w:val="72D37019"/>
    <w:rsid w:val="730F4535"/>
    <w:rsid w:val="73112B0E"/>
    <w:rsid w:val="733F0605"/>
    <w:rsid w:val="73580214"/>
    <w:rsid w:val="73735CE2"/>
    <w:rsid w:val="738C1DEC"/>
    <w:rsid w:val="73905898"/>
    <w:rsid w:val="73C05842"/>
    <w:rsid w:val="73CD5085"/>
    <w:rsid w:val="73D253C5"/>
    <w:rsid w:val="73D9728E"/>
    <w:rsid w:val="73FD0B65"/>
    <w:rsid w:val="73FE6354"/>
    <w:rsid w:val="74045F5B"/>
    <w:rsid w:val="741065A6"/>
    <w:rsid w:val="74261C2A"/>
    <w:rsid w:val="743E4FDA"/>
    <w:rsid w:val="74454306"/>
    <w:rsid w:val="745D14B7"/>
    <w:rsid w:val="74824798"/>
    <w:rsid w:val="74A9179A"/>
    <w:rsid w:val="74AE7EC3"/>
    <w:rsid w:val="74BE1A94"/>
    <w:rsid w:val="7502185A"/>
    <w:rsid w:val="75042CB0"/>
    <w:rsid w:val="751F5A9C"/>
    <w:rsid w:val="75325F01"/>
    <w:rsid w:val="7553092D"/>
    <w:rsid w:val="755B7EA8"/>
    <w:rsid w:val="7595642F"/>
    <w:rsid w:val="75A265C7"/>
    <w:rsid w:val="75C07742"/>
    <w:rsid w:val="75CD5B0E"/>
    <w:rsid w:val="75F730E2"/>
    <w:rsid w:val="76073429"/>
    <w:rsid w:val="76075D1D"/>
    <w:rsid w:val="763F7F9F"/>
    <w:rsid w:val="76417A2E"/>
    <w:rsid w:val="76495049"/>
    <w:rsid w:val="76680E2B"/>
    <w:rsid w:val="767239E5"/>
    <w:rsid w:val="769F52A1"/>
    <w:rsid w:val="76AA20E5"/>
    <w:rsid w:val="76B37D2C"/>
    <w:rsid w:val="76BD4111"/>
    <w:rsid w:val="76CF79FA"/>
    <w:rsid w:val="76EE55AC"/>
    <w:rsid w:val="76F220C7"/>
    <w:rsid w:val="772671D2"/>
    <w:rsid w:val="77405661"/>
    <w:rsid w:val="77440E21"/>
    <w:rsid w:val="774E4B06"/>
    <w:rsid w:val="77746DB1"/>
    <w:rsid w:val="779564AE"/>
    <w:rsid w:val="779F79D2"/>
    <w:rsid w:val="77AE4C12"/>
    <w:rsid w:val="77FD1BE6"/>
    <w:rsid w:val="780139E8"/>
    <w:rsid w:val="78121F2E"/>
    <w:rsid w:val="78344EE6"/>
    <w:rsid w:val="783A61D4"/>
    <w:rsid w:val="7844255D"/>
    <w:rsid w:val="78444A87"/>
    <w:rsid w:val="784721A0"/>
    <w:rsid w:val="785E0E06"/>
    <w:rsid w:val="7883255F"/>
    <w:rsid w:val="7885742D"/>
    <w:rsid w:val="78866106"/>
    <w:rsid w:val="78915E65"/>
    <w:rsid w:val="78972FCD"/>
    <w:rsid w:val="78B54A54"/>
    <w:rsid w:val="78C920C8"/>
    <w:rsid w:val="78CB24D8"/>
    <w:rsid w:val="78D838EC"/>
    <w:rsid w:val="78D90277"/>
    <w:rsid w:val="78E215F4"/>
    <w:rsid w:val="78F66B43"/>
    <w:rsid w:val="7907149F"/>
    <w:rsid w:val="791D1C33"/>
    <w:rsid w:val="792E5ADB"/>
    <w:rsid w:val="793A736F"/>
    <w:rsid w:val="79415DFD"/>
    <w:rsid w:val="79484259"/>
    <w:rsid w:val="795A6E1D"/>
    <w:rsid w:val="79630533"/>
    <w:rsid w:val="7972680A"/>
    <w:rsid w:val="799F4D83"/>
    <w:rsid w:val="79B35723"/>
    <w:rsid w:val="79BF0825"/>
    <w:rsid w:val="7A030083"/>
    <w:rsid w:val="7A3352C5"/>
    <w:rsid w:val="7A3D27CB"/>
    <w:rsid w:val="7A435623"/>
    <w:rsid w:val="7A5A4664"/>
    <w:rsid w:val="7A705021"/>
    <w:rsid w:val="7A840D5E"/>
    <w:rsid w:val="7A981DCF"/>
    <w:rsid w:val="7A990E28"/>
    <w:rsid w:val="7AAD422E"/>
    <w:rsid w:val="7AF00FBF"/>
    <w:rsid w:val="7B036CB8"/>
    <w:rsid w:val="7B0D6371"/>
    <w:rsid w:val="7B425546"/>
    <w:rsid w:val="7B5E2D46"/>
    <w:rsid w:val="7B62387C"/>
    <w:rsid w:val="7B631AB3"/>
    <w:rsid w:val="7B715A61"/>
    <w:rsid w:val="7B7C01F3"/>
    <w:rsid w:val="7B884DD4"/>
    <w:rsid w:val="7B8E0777"/>
    <w:rsid w:val="7B915ABE"/>
    <w:rsid w:val="7B9A1458"/>
    <w:rsid w:val="7BB0072A"/>
    <w:rsid w:val="7BB25331"/>
    <w:rsid w:val="7BC71E77"/>
    <w:rsid w:val="7BF662EE"/>
    <w:rsid w:val="7BF7021D"/>
    <w:rsid w:val="7BFF1548"/>
    <w:rsid w:val="7C0F05A7"/>
    <w:rsid w:val="7C16565F"/>
    <w:rsid w:val="7C536936"/>
    <w:rsid w:val="7C585E3C"/>
    <w:rsid w:val="7C816FEB"/>
    <w:rsid w:val="7CE945FD"/>
    <w:rsid w:val="7CF01E50"/>
    <w:rsid w:val="7D175728"/>
    <w:rsid w:val="7D254BDC"/>
    <w:rsid w:val="7D2D083F"/>
    <w:rsid w:val="7D703797"/>
    <w:rsid w:val="7D783084"/>
    <w:rsid w:val="7D7F4BE5"/>
    <w:rsid w:val="7D814D3F"/>
    <w:rsid w:val="7D90280C"/>
    <w:rsid w:val="7D9163DF"/>
    <w:rsid w:val="7DBE7CD4"/>
    <w:rsid w:val="7DD11077"/>
    <w:rsid w:val="7DF7205D"/>
    <w:rsid w:val="7E211393"/>
    <w:rsid w:val="7E237A50"/>
    <w:rsid w:val="7E57474F"/>
    <w:rsid w:val="7E597CD7"/>
    <w:rsid w:val="7E5A355A"/>
    <w:rsid w:val="7E7C137F"/>
    <w:rsid w:val="7EB0558F"/>
    <w:rsid w:val="7EF62377"/>
    <w:rsid w:val="7EF96EB6"/>
    <w:rsid w:val="7EFF54A2"/>
    <w:rsid w:val="7F0A2079"/>
    <w:rsid w:val="7F1B49D7"/>
    <w:rsid w:val="7F2002CB"/>
    <w:rsid w:val="7F377547"/>
    <w:rsid w:val="7F3D15CE"/>
    <w:rsid w:val="7F4A43D7"/>
    <w:rsid w:val="7F5007C2"/>
    <w:rsid w:val="7F694513"/>
    <w:rsid w:val="7FA6487B"/>
    <w:rsid w:val="7FBA00B3"/>
    <w:rsid w:val="7FC1184B"/>
    <w:rsid w:val="7FDD30DF"/>
    <w:rsid w:val="7FF2400D"/>
    <w:rsid w:val="7FF8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paragraph" w:styleId="5">
    <w:name w:val="heading 2"/>
    <w:basedOn w:val="1"/>
    <w:next w:val="6"/>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7">
    <w:name w:val="heading 3"/>
    <w:basedOn w:val="1"/>
    <w:next w:val="6"/>
    <w:link w:val="57"/>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link w:val="39"/>
    <w:qFormat/>
    <w:uiPriority w:val="0"/>
    <w:pPr>
      <w:spacing w:after="120"/>
      <w:ind w:left="420" w:leftChars="200"/>
    </w:pPr>
  </w:style>
  <w:style w:type="paragraph" w:styleId="6">
    <w:name w:val="Normal Indent"/>
    <w:basedOn w:val="1"/>
    <w:link w:val="40"/>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99"/>
    <w:pPr>
      <w:jc w:val="left"/>
    </w:pPr>
    <w:rPr>
      <w:rFonts w:ascii="仿宋_GB2312" w:eastAsia="仿宋_GB2312"/>
      <w:sz w:val="32"/>
      <w:szCs w:val="32"/>
    </w:rPr>
  </w:style>
  <w:style w:type="paragraph" w:styleId="10">
    <w:name w:val="Body Text"/>
    <w:basedOn w:val="1"/>
    <w:qFormat/>
    <w:uiPriority w:val="0"/>
    <w:pPr>
      <w:tabs>
        <w:tab w:val="left" w:pos="567"/>
      </w:tabs>
      <w:spacing w:before="120" w:line="22" w:lineRule="atLeast"/>
    </w:pPr>
    <w:rPr>
      <w:rFonts w:ascii="宋体" w:hAnsi="宋体"/>
      <w:sz w:val="24"/>
    </w:rPr>
  </w:style>
  <w:style w:type="paragraph" w:styleId="11">
    <w:name w:val="toc 3"/>
    <w:basedOn w:val="1"/>
    <w:next w:val="1"/>
    <w:link w:val="36"/>
    <w:qFormat/>
    <w:uiPriority w:val="39"/>
    <w:pPr>
      <w:spacing w:line="500" w:lineRule="exact"/>
      <w:ind w:left="400" w:leftChars="400"/>
    </w:pPr>
    <w:rPr>
      <w:kern w:val="0"/>
      <w:sz w:val="24"/>
      <w:szCs w:val="20"/>
    </w:rPr>
  </w:style>
  <w:style w:type="paragraph" w:styleId="12">
    <w:name w:val="Plain Text"/>
    <w:basedOn w:val="1"/>
    <w:link w:val="37"/>
    <w:qFormat/>
    <w:uiPriority w:val="0"/>
    <w:rPr>
      <w:rFonts w:ascii="宋体" w:hAnsi="Courier New"/>
      <w:szCs w:val="20"/>
    </w:rPr>
  </w:style>
  <w:style w:type="paragraph" w:styleId="13">
    <w:name w:val="Date"/>
    <w:basedOn w:val="1"/>
    <w:next w:val="1"/>
    <w:link w:val="4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oc 2"/>
    <w:basedOn w:val="1"/>
    <w:next w:val="1"/>
    <w:qFormat/>
    <w:uiPriority w:val="39"/>
    <w:pPr>
      <w:spacing w:line="500" w:lineRule="exact"/>
      <w:ind w:left="200" w:leftChars="200"/>
    </w:pPr>
    <w:rPr>
      <w:sz w:val="24"/>
    </w:rPr>
  </w:style>
  <w:style w:type="paragraph" w:styleId="20">
    <w:name w:val="Normal (Web)"/>
    <w:basedOn w:val="1"/>
    <w:unhideWhenUsed/>
    <w:qFormat/>
    <w:uiPriority w:val="0"/>
    <w:pPr>
      <w:jc w:val="left"/>
    </w:pPr>
    <w:rPr>
      <w:kern w:val="0"/>
      <w:sz w:val="24"/>
    </w:rPr>
  </w:style>
  <w:style w:type="paragraph" w:styleId="21">
    <w:name w:val="index 1"/>
    <w:basedOn w:val="1"/>
    <w:next w:val="1"/>
    <w:semiHidden/>
    <w:qFormat/>
    <w:uiPriority w:val="0"/>
    <w:rPr>
      <w:szCs w:val="20"/>
    </w:rPr>
  </w:style>
  <w:style w:type="paragraph" w:styleId="22">
    <w:name w:val="annotation subject"/>
    <w:basedOn w:val="9"/>
    <w:next w:val="9"/>
    <w:semiHidden/>
    <w:qFormat/>
    <w:uiPriority w:val="0"/>
    <w:rPr>
      <w:rFonts w:ascii="Times New Roman" w:eastAsia="宋体"/>
      <w:b/>
      <w:bCs/>
      <w:sz w:val="21"/>
      <w:szCs w:val="24"/>
    </w:rPr>
  </w:style>
  <w:style w:type="paragraph" w:styleId="23">
    <w:name w:val="Body Text First Indent 2"/>
    <w:basedOn w:val="3"/>
    <w:semiHidden/>
    <w:unhideWhenUsed/>
    <w:qFormat/>
    <w:uiPriority w:val="99"/>
    <w:pPr>
      <w:ind w:firstLine="420" w:firstLineChars="200"/>
    </w:p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basedOn w:val="26"/>
    <w:qFormat/>
    <w:uiPriority w:val="99"/>
    <w:rPr>
      <w:color w:val="0000FF"/>
      <w:u w:val="single"/>
    </w:rPr>
  </w:style>
  <w:style w:type="character" w:styleId="31">
    <w:name w:val="annotation reference"/>
    <w:semiHidden/>
    <w:qFormat/>
    <w:uiPriority w:val="99"/>
    <w:rPr>
      <w:sz w:val="21"/>
      <w:szCs w:val="21"/>
    </w:rPr>
  </w:style>
  <w:style w:type="character" w:customStyle="1" w:styleId="32">
    <w:name w:val="文档结构图 字符"/>
    <w:link w:val="8"/>
    <w:qFormat/>
    <w:uiPriority w:val="0"/>
    <w:rPr>
      <w:rFonts w:ascii="宋体" w:eastAsia="宋体"/>
      <w:kern w:val="2"/>
      <w:sz w:val="18"/>
      <w:szCs w:val="18"/>
      <w:lang w:val="en-US" w:eastAsia="zh-CN" w:bidi="ar-SA"/>
    </w:rPr>
  </w:style>
  <w:style w:type="character" w:customStyle="1" w:styleId="33">
    <w:name w:val="批注文字 字符"/>
    <w:link w:val="9"/>
    <w:qFormat/>
    <w:uiPriority w:val="99"/>
    <w:rPr>
      <w:rFonts w:ascii="仿宋_GB2312" w:eastAsia="仿宋_GB2312"/>
      <w:kern w:val="2"/>
      <w:sz w:val="32"/>
      <w:szCs w:val="32"/>
    </w:rPr>
  </w:style>
  <w:style w:type="character" w:customStyle="1" w:styleId="34">
    <w:name w:val="样式（正文） Char"/>
    <w:link w:val="35"/>
    <w:qFormat/>
    <w:locked/>
    <w:uiPriority w:val="0"/>
    <w:rPr>
      <w:rFonts w:ascii="宋体" w:hAnsi="宋体" w:eastAsia="宋体"/>
      <w:kern w:val="2"/>
      <w:sz w:val="24"/>
      <w:szCs w:val="22"/>
      <w:lang w:bidi="ar-SA"/>
    </w:rPr>
  </w:style>
  <w:style w:type="paragraph" w:customStyle="1" w:styleId="35">
    <w:name w:val="样式（正文）"/>
    <w:basedOn w:val="1"/>
    <w:link w:val="34"/>
    <w:qFormat/>
    <w:uiPriority w:val="0"/>
    <w:pPr>
      <w:spacing w:line="360" w:lineRule="auto"/>
      <w:ind w:firstLine="200" w:firstLineChars="200"/>
    </w:pPr>
    <w:rPr>
      <w:rFonts w:ascii="宋体" w:hAnsi="宋体"/>
      <w:sz w:val="24"/>
      <w:szCs w:val="22"/>
    </w:rPr>
  </w:style>
  <w:style w:type="character" w:customStyle="1" w:styleId="36">
    <w:name w:val="目录 3 字符"/>
    <w:link w:val="11"/>
    <w:qFormat/>
    <w:uiPriority w:val="39"/>
    <w:rPr>
      <w:sz w:val="24"/>
    </w:rPr>
  </w:style>
  <w:style w:type="character" w:customStyle="1" w:styleId="37">
    <w:name w:val="纯文本 字符"/>
    <w:link w:val="12"/>
    <w:qFormat/>
    <w:uiPriority w:val="0"/>
    <w:rPr>
      <w:rFonts w:ascii="宋体" w:hAnsi="Courier New"/>
      <w:kern w:val="2"/>
      <w:sz w:val="21"/>
    </w:rPr>
  </w:style>
  <w:style w:type="character" w:customStyle="1" w:styleId="38">
    <w:name w:val="页脚 字符"/>
    <w:basedOn w:val="26"/>
    <w:link w:val="16"/>
    <w:qFormat/>
    <w:uiPriority w:val="99"/>
    <w:rPr>
      <w:kern w:val="2"/>
      <w:sz w:val="18"/>
      <w:szCs w:val="18"/>
    </w:rPr>
  </w:style>
  <w:style w:type="character" w:customStyle="1" w:styleId="39">
    <w:name w:val="正文文本缩进 字符"/>
    <w:link w:val="3"/>
    <w:qFormat/>
    <w:uiPriority w:val="0"/>
  </w:style>
  <w:style w:type="character" w:customStyle="1" w:styleId="40">
    <w:name w:val="正文缩进 字符"/>
    <w:link w:val="6"/>
    <w:qFormat/>
    <w:uiPriority w:val="0"/>
    <w:rPr>
      <w:rFonts w:ascii="宋体" w:eastAsia="宋体"/>
      <w:sz w:val="24"/>
      <w:lang w:val="en-US" w:eastAsia="zh-CN" w:bidi="ar-SA"/>
    </w:rPr>
  </w:style>
  <w:style w:type="character" w:customStyle="1" w:styleId="41">
    <w:name w:val="日期 字符"/>
    <w:basedOn w:val="26"/>
    <w:link w:val="13"/>
    <w:qFormat/>
    <w:uiPriority w:val="0"/>
    <w:rPr>
      <w:kern w:val="2"/>
      <w:sz w:val="21"/>
      <w:szCs w:val="24"/>
    </w:rPr>
  </w:style>
  <w:style w:type="paragraph" w:customStyle="1" w:styleId="42">
    <w:name w:val="Char Char1"/>
    <w:basedOn w:val="1"/>
    <w:qFormat/>
    <w:uiPriority w:val="0"/>
  </w:style>
  <w:style w:type="paragraph" w:customStyle="1" w:styleId="43">
    <w:name w:val="p0"/>
    <w:basedOn w:val="1"/>
    <w:qFormat/>
    <w:uiPriority w:val="0"/>
    <w:pPr>
      <w:widowControl/>
      <w:snapToGrid w:val="0"/>
      <w:spacing w:after="200"/>
      <w:jc w:val="left"/>
    </w:pPr>
    <w:rPr>
      <w:rFonts w:ascii="Tahoma" w:hAnsi="Tahoma" w:cs="Tahoma"/>
      <w:kern w:val="0"/>
      <w:sz w:val="22"/>
      <w:szCs w:val="22"/>
    </w:rPr>
  </w:style>
  <w:style w:type="paragraph" w:customStyle="1" w:styleId="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Char1"/>
    <w:basedOn w:val="1"/>
    <w:qFormat/>
    <w:uiPriority w:val="0"/>
    <w:rPr>
      <w:rFonts w:ascii="Tahoma" w:hAnsi="Tahoma"/>
      <w:sz w:val="24"/>
      <w:szCs w:val="20"/>
    </w:rPr>
  </w:style>
  <w:style w:type="paragraph" w:customStyle="1" w:styleId="46">
    <w:name w:val="Char"/>
    <w:basedOn w:val="1"/>
    <w:qFormat/>
    <w:uiPriority w:val="0"/>
    <w:pPr>
      <w:tabs>
        <w:tab w:val="left" w:pos="432"/>
      </w:tabs>
      <w:spacing w:beforeLines="50" w:afterLines="50"/>
      <w:ind w:left="864" w:hanging="432"/>
    </w:pPr>
    <w:rPr>
      <w:sz w:val="24"/>
    </w:rPr>
  </w:style>
  <w:style w:type="paragraph" w:customStyle="1" w:styleId="47">
    <w:name w:val="样式 标题 2 + 段后: 156 磅"/>
    <w:basedOn w:val="5"/>
    <w:qFormat/>
    <w:uiPriority w:val="0"/>
    <w:pPr>
      <w:spacing w:before="100" w:after="100" w:line="240" w:lineRule="auto"/>
    </w:pPr>
    <w:rPr>
      <w:rFonts w:cs="宋体"/>
      <w:bCs/>
      <w:sz w:val="30"/>
    </w:rPr>
  </w:style>
  <w:style w:type="paragraph" w:customStyle="1" w:styleId="48">
    <w:name w:val="Char Char11"/>
    <w:basedOn w:val="1"/>
    <w:qFormat/>
    <w:uiPriority w:val="0"/>
    <w:rPr>
      <w:szCs w:val="20"/>
    </w:rPr>
  </w:style>
  <w:style w:type="paragraph" w:customStyle="1" w:styleId="49">
    <w:name w:val="样式1"/>
    <w:basedOn w:val="7"/>
    <w:qFormat/>
    <w:uiPriority w:val="0"/>
    <w:pPr>
      <w:jc w:val="center"/>
    </w:pPr>
  </w:style>
  <w:style w:type="paragraph" w:customStyle="1" w:styleId="50">
    <w:name w:val="列出段落1"/>
    <w:basedOn w:val="1"/>
    <w:qFormat/>
    <w:uiPriority w:val="34"/>
    <w:pPr>
      <w:ind w:firstLine="420" w:firstLineChars="200"/>
    </w:pPr>
    <w:rPr>
      <w:rFonts w:ascii="Calibri" w:hAnsi="Calibri"/>
      <w:szCs w:val="22"/>
    </w:rPr>
  </w:style>
  <w:style w:type="paragraph" w:customStyle="1" w:styleId="51">
    <w:name w:val="Char11"/>
    <w:basedOn w:val="1"/>
    <w:qFormat/>
    <w:uiPriority w:val="0"/>
    <w:rPr>
      <w:rFonts w:ascii="Tahoma" w:hAnsi="Tahoma"/>
      <w:sz w:val="24"/>
      <w:szCs w:val="20"/>
    </w:rPr>
  </w:style>
  <w:style w:type="paragraph" w:customStyle="1" w:styleId="52">
    <w:name w:val="Char2"/>
    <w:basedOn w:val="1"/>
    <w:next w:val="1"/>
    <w:qFormat/>
    <w:uiPriority w:val="0"/>
    <w:pPr>
      <w:widowControl/>
      <w:spacing w:line="360" w:lineRule="auto"/>
      <w:jc w:val="left"/>
    </w:pPr>
    <w:rPr>
      <w:kern w:val="0"/>
      <w:szCs w:val="20"/>
      <w:lang w:eastAsia="en-US"/>
    </w:rPr>
  </w:style>
  <w:style w:type="paragraph" w:customStyle="1" w:styleId="53">
    <w:name w:val="表文"/>
    <w:basedOn w:val="1"/>
    <w:qFormat/>
    <w:uiPriority w:val="0"/>
    <w:rPr>
      <w:rFonts w:ascii="宋体" w:hAnsi="宋体" w:cs="宋体"/>
      <w:color w:val="000000"/>
      <w:kern w:val="0"/>
      <w:szCs w:val="21"/>
    </w:rPr>
  </w:style>
  <w:style w:type="paragraph" w:customStyle="1" w:styleId="5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批注文字 Char1"/>
    <w:basedOn w:val="26"/>
    <w:semiHidden/>
    <w:qFormat/>
    <w:uiPriority w:val="99"/>
    <w:rPr>
      <w:rFonts w:ascii="Times New Roman" w:hAnsi="Times New Roman" w:eastAsia="宋体" w:cs="Times New Roman"/>
      <w:szCs w:val="24"/>
    </w:rPr>
  </w:style>
  <w:style w:type="paragraph" w:styleId="56">
    <w:name w:val="List Paragraph"/>
    <w:basedOn w:val="1"/>
    <w:qFormat/>
    <w:uiPriority w:val="99"/>
    <w:pPr>
      <w:ind w:firstLine="420" w:firstLineChars="200"/>
    </w:pPr>
  </w:style>
  <w:style w:type="character" w:customStyle="1" w:styleId="57">
    <w:name w:val="标题 3 字符"/>
    <w:basedOn w:val="26"/>
    <w:link w:val="7"/>
    <w:qFormat/>
    <w:uiPriority w:val="0"/>
    <w:rPr>
      <w:rFonts w:ascii="宋体"/>
      <w:b/>
      <w:sz w:val="24"/>
    </w:rPr>
  </w:style>
  <w:style w:type="paragraph" w:customStyle="1" w:styleId="58">
    <w:name w:val="正文小标题"/>
    <w:basedOn w:val="1"/>
    <w:qFormat/>
    <w:uiPriority w:val="0"/>
    <w:pPr>
      <w:spacing w:beforeLines="50" w:afterLines="50"/>
      <w:jc w:val="left"/>
    </w:pPr>
    <w:rPr>
      <w:b/>
    </w:rPr>
  </w:style>
  <w:style w:type="paragraph" w:customStyle="1" w:styleId="59">
    <w:name w:val="我的标题二标"/>
    <w:basedOn w:val="1"/>
    <w:qFormat/>
    <w:uiPriority w:val="0"/>
    <w:pPr>
      <w:spacing w:beforeLines="100" w:afterLines="100" w:line="500" w:lineRule="exact"/>
      <w:jc w:val="center"/>
    </w:pPr>
    <w:rPr>
      <w:b/>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4397</Words>
  <Characters>25064</Characters>
  <Lines>208</Lines>
  <Paragraphs>58</Paragraphs>
  <TotalTime>10</TotalTime>
  <ScaleCrop>false</ScaleCrop>
  <LinksUpToDate>false</LinksUpToDate>
  <CharactersWithSpaces>29403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2021-05-14T03:55:00Z</cp:lastPrinted>
  <dcterms:modified xsi:type="dcterms:W3CDTF">2021-08-17T00:07:09Z</dcterms:modified>
  <dc:title>招标文件</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F8F66F7DC38A4CAAAA4EBA8C08393604</vt:lpwstr>
  </property>
</Properties>
</file>